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E6C" w:rsidRPr="00913590" w:rsidRDefault="00F04728" w:rsidP="00DB3CC9">
      <w:pPr>
        <w:pStyle w:val="NormalWeb"/>
        <w:rPr>
          <w:b/>
          <w:bCs/>
          <w:sz w:val="28"/>
          <w:szCs w:val="28"/>
        </w:rPr>
      </w:pPr>
      <w:r>
        <w:rPr>
          <w:b/>
          <w:bCs/>
          <w:sz w:val="28"/>
          <w:szCs w:val="28"/>
        </w:rPr>
        <w:t>TP</w:t>
      </w:r>
      <w:r w:rsidR="003F7E6C" w:rsidRPr="00913590">
        <w:rPr>
          <w:b/>
          <w:bCs/>
          <w:sz w:val="28"/>
          <w:szCs w:val="28"/>
        </w:rPr>
        <w:t xml:space="preserve"> 2</w:t>
      </w:r>
      <w:r w:rsidR="00616F93" w:rsidRPr="00913590">
        <w:rPr>
          <w:b/>
          <w:bCs/>
          <w:sz w:val="28"/>
          <w:szCs w:val="28"/>
        </w:rPr>
        <w:t xml:space="preserve"> </w:t>
      </w:r>
      <w:r w:rsidR="00913590" w:rsidRPr="00913590">
        <w:rPr>
          <w:b/>
          <w:bCs/>
          <w:sz w:val="28"/>
          <w:szCs w:val="28"/>
        </w:rPr>
        <w:t>.Introduction à la biologie cellulaire</w:t>
      </w:r>
    </w:p>
    <w:p w:rsidR="00235419" w:rsidRDefault="00235419" w:rsidP="00F8553F">
      <w:pPr>
        <w:pStyle w:val="NormalWeb"/>
        <w:rPr>
          <w:b/>
          <w:bCs/>
        </w:rPr>
      </w:pPr>
      <w:r w:rsidRPr="00235419">
        <w:rPr>
          <w:b/>
          <w:bCs/>
          <w:noProof/>
        </w:rPr>
        <w:drawing>
          <wp:inline distT="0" distB="0" distL="0" distR="0">
            <wp:extent cx="5760720" cy="6718210"/>
            <wp:effectExtent l="19050" t="0" r="0" b="0"/>
            <wp:docPr id="1" name="Image 1" descr="http://www.teteamodeler.com/images/illustration/Image/classification-des-vivan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eteamodeler.com/images/illustration/Image/classification-des-vivants.jpg"/>
                    <pic:cNvPicPr>
                      <a:picLocks noChangeAspect="1" noChangeArrowheads="1"/>
                    </pic:cNvPicPr>
                  </pic:nvPicPr>
                  <pic:blipFill>
                    <a:blip r:embed="rId6"/>
                    <a:srcRect/>
                    <a:stretch>
                      <a:fillRect/>
                    </a:stretch>
                  </pic:blipFill>
                  <pic:spPr bwMode="auto">
                    <a:xfrm>
                      <a:off x="0" y="0"/>
                      <a:ext cx="5760720" cy="6718210"/>
                    </a:xfrm>
                    <a:prstGeom prst="rect">
                      <a:avLst/>
                    </a:prstGeom>
                    <a:noFill/>
                    <a:ln w="9525">
                      <a:noFill/>
                      <a:miter lim="800000"/>
                      <a:headEnd/>
                      <a:tailEnd/>
                    </a:ln>
                  </pic:spPr>
                </pic:pic>
              </a:graphicData>
            </a:graphic>
          </wp:inline>
        </w:drawing>
      </w:r>
      <w:r w:rsidR="00F8553F">
        <w:rPr>
          <w:b/>
          <w:bCs/>
        </w:rPr>
        <w:t xml:space="preserve"> </w:t>
      </w:r>
    </w:p>
    <w:p w:rsidR="00235419" w:rsidRDefault="00235419" w:rsidP="00DB3CC9">
      <w:pPr>
        <w:pStyle w:val="NormalWeb"/>
        <w:rPr>
          <w:b/>
          <w:bCs/>
        </w:rPr>
      </w:pPr>
    </w:p>
    <w:p w:rsidR="00235419" w:rsidRDefault="00235419" w:rsidP="00DB3CC9">
      <w:pPr>
        <w:pStyle w:val="NormalWeb"/>
        <w:rPr>
          <w:b/>
          <w:bCs/>
        </w:rPr>
      </w:pPr>
    </w:p>
    <w:p w:rsidR="00235419" w:rsidRDefault="00235419" w:rsidP="00DB3CC9">
      <w:pPr>
        <w:pStyle w:val="NormalWeb"/>
        <w:rPr>
          <w:b/>
          <w:bCs/>
        </w:rPr>
      </w:pPr>
    </w:p>
    <w:p w:rsidR="00F8553F" w:rsidRDefault="00F8553F" w:rsidP="00DB3CC9">
      <w:pPr>
        <w:pStyle w:val="NormalWeb"/>
        <w:rPr>
          <w:b/>
          <w:bCs/>
        </w:rPr>
      </w:pPr>
    </w:p>
    <w:p w:rsidR="00533176" w:rsidRPr="009266EB" w:rsidRDefault="00533176" w:rsidP="00616F93">
      <w:pPr>
        <w:spacing w:before="100" w:beforeAutospacing="1" w:after="100" w:afterAutospacing="1" w:line="240" w:lineRule="auto"/>
        <w:rPr>
          <w:rFonts w:ascii="Times New Roman" w:eastAsia="Times New Roman" w:hAnsi="Times New Roman" w:cs="Times New Roman"/>
          <w:b/>
          <w:bCs/>
          <w:sz w:val="24"/>
          <w:szCs w:val="24"/>
          <w:lang w:eastAsia="fr-FR"/>
        </w:rPr>
      </w:pPr>
      <w:r w:rsidRPr="009266EB">
        <w:rPr>
          <w:rFonts w:ascii="Times New Roman" w:eastAsia="Times New Roman" w:hAnsi="Times New Roman" w:cs="Times New Roman"/>
          <w:b/>
          <w:bCs/>
          <w:sz w:val="24"/>
          <w:szCs w:val="24"/>
          <w:lang w:eastAsia="fr-FR"/>
        </w:rPr>
        <w:lastRenderedPageBreak/>
        <w:t xml:space="preserve">Origine et évolution </w:t>
      </w:r>
    </w:p>
    <w:p w:rsidR="000C0D7E" w:rsidRDefault="000C0D7E" w:rsidP="00292329">
      <w:pPr>
        <w:pStyle w:val="NormalWeb"/>
        <w:jc w:val="both"/>
      </w:pPr>
      <w:r w:rsidRPr="000C0D7E">
        <w:t xml:space="preserve">Les </w:t>
      </w:r>
      <w:r w:rsidRPr="000C0D7E">
        <w:rPr>
          <w:b/>
          <w:bCs/>
        </w:rPr>
        <w:t>origines de la vie</w:t>
      </w:r>
      <w:r w:rsidRPr="000C0D7E">
        <w:t xml:space="preserve"> sur </w:t>
      </w:r>
      <w:hyperlink r:id="rId7" w:tooltip="Terre" w:history="1">
        <w:r w:rsidRPr="000C0D7E">
          <w:rPr>
            <w:rStyle w:val="Lienhypertexte"/>
            <w:color w:val="auto"/>
            <w:u w:val="none"/>
          </w:rPr>
          <w:t>Terre</w:t>
        </w:r>
      </w:hyperlink>
      <w:r w:rsidRPr="000C0D7E">
        <w:t xml:space="preserve"> demeurent incertaines. Il y a de nombreuses théories </w:t>
      </w:r>
      <w:hyperlink r:id="rId8" w:tooltip="Science" w:history="1">
        <w:r w:rsidRPr="000C0D7E">
          <w:rPr>
            <w:rStyle w:val="Lienhypertexte"/>
            <w:color w:val="auto"/>
            <w:u w:val="none"/>
          </w:rPr>
          <w:t>scientifiques</w:t>
        </w:r>
      </w:hyperlink>
      <w:r w:rsidRPr="000C0D7E">
        <w:t xml:space="preserve"> qui tentent d'expliquer l'apparition de la vie, dont on pense qu'elle remonte à environ 3,5 à </w:t>
      </w:r>
      <w:r w:rsidRPr="000C0D7E">
        <w:rPr>
          <w:rStyle w:val="nowrap1"/>
        </w:rPr>
        <w:t>3,8 milliards</w:t>
      </w:r>
      <w:r w:rsidRPr="000C0D7E">
        <w:t xml:space="preserve"> d'années.</w:t>
      </w:r>
    </w:p>
    <w:p w:rsidR="007B59A6" w:rsidRDefault="007B59A6" w:rsidP="002E2483">
      <w:pPr>
        <w:pStyle w:val="NormalWeb"/>
      </w:pPr>
      <w:r>
        <w:t xml:space="preserve">En fait il y a actuellement deux </w:t>
      </w:r>
      <w:r w:rsidR="002E2483">
        <w:t xml:space="preserve">hypothèses </w:t>
      </w:r>
      <w:r>
        <w:t>principales sur l'origine de la vie:</w:t>
      </w:r>
    </w:p>
    <w:p w:rsidR="007B59A6" w:rsidRPr="002B0785" w:rsidRDefault="007B59A6" w:rsidP="002B0785">
      <w:pPr>
        <w:numPr>
          <w:ilvl w:val="0"/>
          <w:numId w:val="7"/>
        </w:numPr>
        <w:spacing w:before="100" w:beforeAutospacing="1" w:after="100" w:afterAutospacing="1" w:line="240" w:lineRule="auto"/>
        <w:jc w:val="both"/>
        <w:rPr>
          <w:rFonts w:asciiTheme="majorBidi" w:hAnsiTheme="majorBidi" w:cstheme="majorBidi"/>
          <w:sz w:val="24"/>
          <w:szCs w:val="24"/>
        </w:rPr>
      </w:pPr>
      <w:r w:rsidRPr="002B0785">
        <w:rPr>
          <w:rFonts w:asciiTheme="majorBidi" w:hAnsiTheme="majorBidi" w:cstheme="majorBidi"/>
          <w:sz w:val="24"/>
          <w:szCs w:val="24"/>
        </w:rPr>
        <w:t xml:space="preserve">l’une (fondée sur la </w:t>
      </w:r>
      <w:hyperlink r:id="rId9" w:tooltip="Théorie de l'information" w:history="1">
        <w:r w:rsidRPr="002B0785">
          <w:rPr>
            <w:rStyle w:val="Lienhypertexte"/>
            <w:rFonts w:asciiTheme="majorBidi" w:hAnsiTheme="majorBidi" w:cstheme="majorBidi"/>
            <w:color w:val="auto"/>
            <w:sz w:val="24"/>
            <w:szCs w:val="24"/>
            <w:u w:val="none"/>
          </w:rPr>
          <w:t>théorie de l'information</w:t>
        </w:r>
      </w:hyperlink>
      <w:r w:rsidRPr="002B0785">
        <w:rPr>
          <w:rFonts w:asciiTheme="majorBidi" w:hAnsiTheme="majorBidi" w:cstheme="majorBidi"/>
          <w:sz w:val="24"/>
          <w:szCs w:val="24"/>
        </w:rPr>
        <w:t xml:space="preserve"> et les problématiques de </w:t>
      </w:r>
      <w:hyperlink r:id="rId10" w:tooltip="Codage de l'information" w:history="1">
        <w:r w:rsidRPr="002B0785">
          <w:rPr>
            <w:rStyle w:val="Lienhypertexte"/>
            <w:rFonts w:asciiTheme="majorBidi" w:hAnsiTheme="majorBidi" w:cstheme="majorBidi"/>
            <w:color w:val="auto"/>
            <w:sz w:val="24"/>
            <w:szCs w:val="24"/>
            <w:u w:val="none"/>
          </w:rPr>
          <w:t>codage de l'information</w:t>
        </w:r>
      </w:hyperlink>
      <w:r w:rsidRPr="002B0785">
        <w:rPr>
          <w:rFonts w:asciiTheme="majorBidi" w:hAnsiTheme="majorBidi" w:cstheme="majorBidi"/>
          <w:sz w:val="24"/>
          <w:szCs w:val="24"/>
        </w:rPr>
        <w:t xml:space="preserve">) qui considère que seuls les </w:t>
      </w:r>
      <w:hyperlink r:id="rId11" w:tooltip="Acides nucléiques" w:history="1">
        <w:r w:rsidRPr="002B0785">
          <w:rPr>
            <w:rStyle w:val="Lienhypertexte"/>
            <w:rFonts w:asciiTheme="majorBidi" w:hAnsiTheme="majorBidi" w:cstheme="majorBidi"/>
            <w:color w:val="auto"/>
            <w:sz w:val="24"/>
            <w:szCs w:val="24"/>
            <w:u w:val="none"/>
          </w:rPr>
          <w:t>acides nucléiques</w:t>
        </w:r>
      </w:hyperlink>
      <w:r w:rsidRPr="002B0785">
        <w:rPr>
          <w:rFonts w:asciiTheme="majorBidi" w:hAnsiTheme="majorBidi" w:cstheme="majorBidi"/>
          <w:sz w:val="24"/>
          <w:szCs w:val="24"/>
        </w:rPr>
        <w:t xml:space="preserve"> ont pu jouer un rôle clé dans le processus de la </w:t>
      </w:r>
      <w:hyperlink r:id="rId12" w:tooltip="Sélection naturelle" w:history="1">
        <w:r w:rsidRPr="002B0785">
          <w:rPr>
            <w:rStyle w:val="Lienhypertexte"/>
            <w:rFonts w:asciiTheme="majorBidi" w:hAnsiTheme="majorBidi" w:cstheme="majorBidi"/>
            <w:color w:val="auto"/>
            <w:sz w:val="24"/>
            <w:szCs w:val="24"/>
            <w:u w:val="none"/>
          </w:rPr>
          <w:t>sélection naturelle</w:t>
        </w:r>
      </w:hyperlink>
      <w:r w:rsidRPr="002B0785">
        <w:rPr>
          <w:rFonts w:asciiTheme="majorBidi" w:hAnsiTheme="majorBidi" w:cstheme="majorBidi"/>
          <w:sz w:val="24"/>
          <w:szCs w:val="24"/>
        </w:rPr>
        <w:t xml:space="preserve"> qui a formaté les organismes vivants; </w:t>
      </w:r>
    </w:p>
    <w:p w:rsidR="007B59A6" w:rsidRPr="002B0785" w:rsidRDefault="007B59A6" w:rsidP="002B0785">
      <w:pPr>
        <w:numPr>
          <w:ilvl w:val="0"/>
          <w:numId w:val="7"/>
        </w:numPr>
        <w:spacing w:before="100" w:beforeAutospacing="1" w:after="100" w:afterAutospacing="1" w:line="240" w:lineRule="auto"/>
        <w:jc w:val="both"/>
        <w:rPr>
          <w:rFonts w:asciiTheme="majorBidi" w:hAnsiTheme="majorBidi" w:cstheme="majorBidi"/>
          <w:sz w:val="24"/>
          <w:szCs w:val="24"/>
        </w:rPr>
      </w:pPr>
      <w:r w:rsidRPr="002B0785">
        <w:rPr>
          <w:rFonts w:asciiTheme="majorBidi" w:hAnsiTheme="majorBidi" w:cstheme="majorBidi"/>
          <w:sz w:val="24"/>
          <w:szCs w:val="24"/>
        </w:rPr>
        <w:t xml:space="preserve">l’autre qui privilégie le rôle du </w:t>
      </w:r>
      <w:hyperlink r:id="rId13" w:tooltip="Métabolisme" w:history="1">
        <w:r w:rsidRPr="002B0785">
          <w:rPr>
            <w:rStyle w:val="Lienhypertexte"/>
            <w:rFonts w:asciiTheme="majorBidi" w:hAnsiTheme="majorBidi" w:cstheme="majorBidi"/>
            <w:color w:val="auto"/>
            <w:sz w:val="24"/>
            <w:szCs w:val="24"/>
            <w:u w:val="none"/>
          </w:rPr>
          <w:t>métabolisme</w:t>
        </w:r>
      </w:hyperlink>
      <w:r w:rsidRPr="002B0785">
        <w:rPr>
          <w:rFonts w:asciiTheme="majorBidi" w:hAnsiTheme="majorBidi" w:cstheme="majorBidi"/>
          <w:sz w:val="24"/>
          <w:szCs w:val="24"/>
        </w:rPr>
        <w:t>, qui considère que les organismes vivants sont essentiellement des systèmes loin de leur état d’</w:t>
      </w:r>
      <w:hyperlink r:id="rId14" w:tooltip="Équilibre thermodynamique" w:history="1">
        <w:r w:rsidRPr="002B0785">
          <w:rPr>
            <w:rStyle w:val="Lienhypertexte"/>
            <w:rFonts w:asciiTheme="majorBidi" w:hAnsiTheme="majorBidi" w:cstheme="majorBidi"/>
            <w:color w:val="auto"/>
            <w:sz w:val="24"/>
            <w:szCs w:val="24"/>
            <w:u w:val="none"/>
          </w:rPr>
          <w:t>équilibre thermodynamique</w:t>
        </w:r>
      </w:hyperlink>
      <w:r w:rsidRPr="002B0785">
        <w:rPr>
          <w:rFonts w:asciiTheme="majorBidi" w:hAnsiTheme="majorBidi" w:cstheme="majorBidi"/>
          <w:sz w:val="24"/>
          <w:szCs w:val="24"/>
        </w:rPr>
        <w:t xml:space="preserve">, qui parviennent à se maintenir tels grâce aux processus métaboliques. </w:t>
      </w:r>
    </w:p>
    <w:p w:rsidR="006F2E02" w:rsidRPr="00EC219B" w:rsidRDefault="00EC219B" w:rsidP="00EC219B">
      <w:pPr>
        <w:pStyle w:val="NormalWeb"/>
        <w:jc w:val="both"/>
      </w:pPr>
      <w:r w:rsidRPr="00EC219B">
        <w:rPr>
          <w:rStyle w:val="mw-headline"/>
          <w:b/>
          <w:bCs/>
        </w:rPr>
        <w:t>Les modèles « gènes »</w:t>
      </w:r>
    </w:p>
    <w:p w:rsidR="00EC219B" w:rsidRPr="00EC219B" w:rsidRDefault="00EC219B" w:rsidP="00B422A2">
      <w:pPr>
        <w:pStyle w:val="NormalWeb"/>
        <w:jc w:val="both"/>
        <w:rPr>
          <w:rFonts w:asciiTheme="majorBidi" w:hAnsiTheme="majorBidi" w:cstheme="majorBidi"/>
        </w:rPr>
      </w:pPr>
      <w:r w:rsidRPr="00EC219B">
        <w:rPr>
          <w:rFonts w:asciiTheme="majorBidi" w:hAnsiTheme="majorBidi" w:cstheme="majorBidi"/>
        </w:rPr>
        <w:t>Dans ce modèle, l'apparition du génome a précédé l'apparition du métabolisme. Des molécules d'</w:t>
      </w:r>
      <w:hyperlink r:id="rId15" w:tooltip="Acide désoxyribonucléique" w:history="1">
        <w:r w:rsidRPr="00EC219B">
          <w:rPr>
            <w:rStyle w:val="Lienhypertexte"/>
            <w:rFonts w:asciiTheme="majorBidi" w:hAnsiTheme="majorBidi" w:cstheme="majorBidi"/>
            <w:color w:val="auto"/>
            <w:u w:val="none"/>
          </w:rPr>
          <w:t>ADN</w:t>
        </w:r>
      </w:hyperlink>
      <w:r w:rsidRPr="00EC219B">
        <w:rPr>
          <w:rFonts w:asciiTheme="majorBidi" w:hAnsiTheme="majorBidi" w:cstheme="majorBidi"/>
        </w:rPr>
        <w:t xml:space="preserve"> ou d'</w:t>
      </w:r>
      <w:hyperlink r:id="rId16" w:tooltip="Acide ribonucléique" w:history="1">
        <w:r w:rsidRPr="00EC219B">
          <w:rPr>
            <w:rStyle w:val="Lienhypertexte"/>
            <w:rFonts w:asciiTheme="majorBidi" w:hAnsiTheme="majorBidi" w:cstheme="majorBidi"/>
            <w:color w:val="auto"/>
            <w:u w:val="none"/>
          </w:rPr>
          <w:t>ARN</w:t>
        </w:r>
      </w:hyperlink>
      <w:r w:rsidRPr="00EC219B">
        <w:rPr>
          <w:rFonts w:asciiTheme="majorBidi" w:hAnsiTheme="majorBidi" w:cstheme="majorBidi"/>
        </w:rPr>
        <w:t xml:space="preserve"> auraient ainsi existé seules, s'</w:t>
      </w:r>
      <w:proofErr w:type="spellStart"/>
      <w:r w:rsidRPr="00EC219B">
        <w:rPr>
          <w:rFonts w:asciiTheme="majorBidi" w:hAnsiTheme="majorBidi" w:cstheme="majorBidi"/>
        </w:rPr>
        <w:t>autorépliquant</w:t>
      </w:r>
      <w:proofErr w:type="spellEnd"/>
      <w:r w:rsidRPr="00EC219B">
        <w:rPr>
          <w:rFonts w:asciiTheme="majorBidi" w:hAnsiTheme="majorBidi" w:cstheme="majorBidi"/>
        </w:rPr>
        <w:t xml:space="preserve"> à partir des molécules présentes dans leur environnement. Les « individus » sont donc représentés par les molécules d'</w:t>
      </w:r>
      <w:hyperlink r:id="rId17" w:tooltip="Acide nucléique" w:history="1">
        <w:r w:rsidRPr="00EC219B">
          <w:rPr>
            <w:rStyle w:val="Lienhypertexte"/>
            <w:rFonts w:asciiTheme="majorBidi" w:hAnsiTheme="majorBidi" w:cstheme="majorBidi"/>
            <w:color w:val="auto"/>
            <w:u w:val="none"/>
          </w:rPr>
          <w:t>acides nucléiques</w:t>
        </w:r>
      </w:hyperlink>
      <w:r w:rsidRPr="00EC219B">
        <w:rPr>
          <w:rFonts w:asciiTheme="majorBidi" w:hAnsiTheme="majorBidi" w:cstheme="majorBidi"/>
        </w:rPr>
        <w:t xml:space="preserve"> elles-mêmes.</w:t>
      </w:r>
    </w:p>
    <w:p w:rsidR="002C7540" w:rsidRPr="001126D6" w:rsidRDefault="001126D6" w:rsidP="001126D6">
      <w:pPr>
        <w:spacing w:before="100" w:beforeAutospacing="1" w:after="100" w:afterAutospacing="1" w:line="240" w:lineRule="auto"/>
        <w:rPr>
          <w:rFonts w:asciiTheme="majorBidi" w:eastAsia="Times New Roman" w:hAnsiTheme="majorBidi" w:cstheme="majorBidi"/>
          <w:b/>
          <w:bCs/>
          <w:sz w:val="24"/>
          <w:szCs w:val="24"/>
          <w:lang w:eastAsia="fr-FR"/>
        </w:rPr>
      </w:pPr>
      <w:r w:rsidRPr="001126D6">
        <w:rPr>
          <w:rStyle w:val="mw-headline"/>
          <w:rFonts w:asciiTheme="majorBidi" w:hAnsiTheme="majorBidi" w:cstheme="majorBidi"/>
          <w:b/>
          <w:bCs/>
          <w:sz w:val="24"/>
          <w:szCs w:val="24"/>
        </w:rPr>
        <w:t>Les modèles « métabolisme»</w:t>
      </w:r>
    </w:p>
    <w:p w:rsidR="00BD6082" w:rsidRPr="00676C84" w:rsidRDefault="00676C84" w:rsidP="008802B5">
      <w:pPr>
        <w:spacing w:before="100" w:beforeAutospacing="1" w:after="100" w:afterAutospacing="1" w:line="240" w:lineRule="auto"/>
        <w:jc w:val="both"/>
        <w:rPr>
          <w:rFonts w:asciiTheme="majorBidi" w:eastAsia="Times New Roman" w:hAnsiTheme="majorBidi" w:cstheme="majorBidi"/>
          <w:b/>
          <w:bCs/>
          <w:sz w:val="24"/>
          <w:szCs w:val="24"/>
          <w:lang w:eastAsia="fr-FR"/>
        </w:rPr>
      </w:pPr>
      <w:r w:rsidRPr="00CA0590">
        <w:rPr>
          <w:rFonts w:asciiTheme="majorBidi" w:hAnsiTheme="majorBidi" w:cstheme="majorBidi"/>
          <w:sz w:val="24"/>
          <w:szCs w:val="24"/>
        </w:rPr>
        <w:t>L’hypothèse</w:t>
      </w:r>
      <w:r w:rsidR="00CA0590" w:rsidRPr="00CA0590">
        <w:rPr>
          <w:rFonts w:asciiTheme="majorBidi" w:hAnsiTheme="majorBidi" w:cstheme="majorBidi"/>
          <w:sz w:val="24"/>
          <w:szCs w:val="24"/>
        </w:rPr>
        <w:t xml:space="preserve"> de l'apparition d'un </w:t>
      </w:r>
      <w:hyperlink r:id="rId18" w:tooltip="Métabolisme" w:history="1">
        <w:r w:rsidR="00CA0590" w:rsidRPr="00CA0590">
          <w:rPr>
            <w:rStyle w:val="Lienhypertexte"/>
            <w:rFonts w:asciiTheme="majorBidi" w:hAnsiTheme="majorBidi" w:cstheme="majorBidi"/>
            <w:color w:val="auto"/>
            <w:sz w:val="24"/>
            <w:szCs w:val="24"/>
            <w:u w:val="none"/>
          </w:rPr>
          <w:t>métabolisme</w:t>
        </w:r>
      </w:hyperlink>
      <w:r w:rsidR="00CA0590" w:rsidRPr="00CA0590">
        <w:rPr>
          <w:rFonts w:asciiTheme="majorBidi" w:hAnsiTheme="majorBidi" w:cstheme="majorBidi"/>
          <w:sz w:val="24"/>
          <w:szCs w:val="24"/>
        </w:rPr>
        <w:t xml:space="preserve"> primitif aurait précédé l'émergence de la réplication de l'ARN</w:t>
      </w:r>
      <w:r w:rsidR="00CA0590" w:rsidRPr="00676C84">
        <w:rPr>
          <w:rFonts w:asciiTheme="majorBidi" w:hAnsiTheme="majorBidi" w:cstheme="majorBidi"/>
          <w:sz w:val="24"/>
          <w:szCs w:val="24"/>
        </w:rPr>
        <w:t>.</w:t>
      </w:r>
      <w:r w:rsidRPr="00676C84">
        <w:rPr>
          <w:rFonts w:asciiTheme="majorBidi" w:hAnsiTheme="majorBidi" w:cstheme="majorBidi"/>
          <w:sz w:val="24"/>
          <w:szCs w:val="24"/>
        </w:rPr>
        <w:t xml:space="preserve"> </w:t>
      </w:r>
      <w:r w:rsidR="008802B5" w:rsidRPr="008802B5">
        <w:rPr>
          <w:rFonts w:asciiTheme="majorBidi" w:hAnsiTheme="majorBidi" w:cstheme="majorBidi"/>
          <w:sz w:val="24"/>
          <w:szCs w:val="24"/>
        </w:rPr>
        <w:t>Ces systèmes métaboliques</w:t>
      </w:r>
      <w:r w:rsidR="008802B5" w:rsidRPr="00676C84">
        <w:rPr>
          <w:rFonts w:asciiTheme="majorBidi" w:hAnsiTheme="majorBidi" w:cstheme="majorBidi"/>
          <w:sz w:val="24"/>
          <w:szCs w:val="24"/>
        </w:rPr>
        <w:t xml:space="preserve"> </w:t>
      </w:r>
      <w:r w:rsidRPr="00676C84">
        <w:rPr>
          <w:rFonts w:asciiTheme="majorBidi" w:hAnsiTheme="majorBidi" w:cstheme="majorBidi"/>
          <w:sz w:val="24"/>
          <w:szCs w:val="24"/>
        </w:rPr>
        <w:t>se répliquent sans transmettre d’</w:t>
      </w:r>
      <w:hyperlink r:id="rId19" w:tooltip="Information" w:history="1">
        <w:r w:rsidRPr="00676C84">
          <w:rPr>
            <w:rStyle w:val="Lienhypertexte"/>
            <w:rFonts w:asciiTheme="majorBidi" w:hAnsiTheme="majorBidi" w:cstheme="majorBidi"/>
            <w:color w:val="auto"/>
            <w:sz w:val="24"/>
            <w:szCs w:val="24"/>
            <w:u w:val="none"/>
          </w:rPr>
          <w:t>information</w:t>
        </w:r>
      </w:hyperlink>
      <w:r w:rsidRPr="00676C84">
        <w:rPr>
          <w:rFonts w:asciiTheme="majorBidi" w:hAnsiTheme="majorBidi" w:cstheme="majorBidi"/>
          <w:sz w:val="24"/>
          <w:szCs w:val="24"/>
        </w:rPr>
        <w:t>, c’est-à-dire qu’ils n'ont pas d'</w:t>
      </w:r>
      <w:hyperlink r:id="rId20" w:tooltip="Hérédité" w:history="1">
        <w:r w:rsidRPr="00676C84">
          <w:rPr>
            <w:rStyle w:val="Lienhypertexte"/>
            <w:rFonts w:asciiTheme="majorBidi" w:hAnsiTheme="majorBidi" w:cstheme="majorBidi"/>
            <w:color w:val="auto"/>
            <w:sz w:val="24"/>
            <w:szCs w:val="24"/>
            <w:u w:val="none"/>
          </w:rPr>
          <w:t>hérédité</w:t>
        </w:r>
      </w:hyperlink>
      <w:r w:rsidR="00080A29">
        <w:rPr>
          <w:rFonts w:asciiTheme="majorBidi" w:eastAsia="Times New Roman" w:hAnsiTheme="majorBidi" w:cstheme="majorBidi"/>
          <w:b/>
          <w:bCs/>
          <w:sz w:val="24"/>
          <w:szCs w:val="24"/>
          <w:lang w:eastAsia="fr-FR"/>
        </w:rPr>
        <w:t>.</w:t>
      </w:r>
    </w:p>
    <w:p w:rsidR="000F2DE7" w:rsidRDefault="000F2DE7" w:rsidP="00413124">
      <w:pPr>
        <w:spacing w:before="100" w:beforeAutospacing="1" w:after="100" w:afterAutospacing="1" w:line="240" w:lineRule="auto"/>
        <w:rPr>
          <w:rFonts w:ascii="Times New Roman" w:eastAsia="Times New Roman" w:hAnsi="Times New Roman" w:cs="Times New Roman"/>
          <w:b/>
          <w:bCs/>
          <w:sz w:val="24"/>
          <w:szCs w:val="24"/>
          <w:lang w:eastAsia="fr-FR"/>
        </w:rPr>
      </w:pPr>
    </w:p>
    <w:p w:rsidR="000F2DE7" w:rsidRDefault="000F2DE7" w:rsidP="00413124">
      <w:pPr>
        <w:spacing w:before="100" w:beforeAutospacing="1" w:after="100" w:afterAutospacing="1" w:line="240" w:lineRule="auto"/>
        <w:rPr>
          <w:rFonts w:ascii="Times New Roman" w:eastAsia="Times New Roman" w:hAnsi="Times New Roman" w:cs="Times New Roman"/>
          <w:b/>
          <w:bCs/>
          <w:sz w:val="24"/>
          <w:szCs w:val="24"/>
          <w:lang w:eastAsia="fr-FR"/>
        </w:rPr>
      </w:pPr>
    </w:p>
    <w:p w:rsidR="000F2DE7" w:rsidRDefault="000F2DE7" w:rsidP="00413124">
      <w:pPr>
        <w:spacing w:before="100" w:beforeAutospacing="1" w:after="100" w:afterAutospacing="1" w:line="240" w:lineRule="auto"/>
        <w:rPr>
          <w:rFonts w:ascii="Times New Roman" w:eastAsia="Times New Roman" w:hAnsi="Times New Roman" w:cs="Times New Roman"/>
          <w:b/>
          <w:bCs/>
          <w:sz w:val="24"/>
          <w:szCs w:val="24"/>
          <w:lang w:eastAsia="fr-FR"/>
        </w:rPr>
      </w:pPr>
    </w:p>
    <w:p w:rsidR="000F2DE7" w:rsidRDefault="000F2DE7" w:rsidP="00413124">
      <w:pPr>
        <w:spacing w:before="100" w:beforeAutospacing="1" w:after="100" w:afterAutospacing="1" w:line="240" w:lineRule="auto"/>
        <w:rPr>
          <w:rFonts w:ascii="Times New Roman" w:eastAsia="Times New Roman" w:hAnsi="Times New Roman" w:cs="Times New Roman"/>
          <w:b/>
          <w:bCs/>
          <w:sz w:val="24"/>
          <w:szCs w:val="24"/>
          <w:lang w:eastAsia="fr-FR"/>
        </w:rPr>
      </w:pPr>
    </w:p>
    <w:p w:rsidR="000F2DE7" w:rsidRDefault="000F2DE7" w:rsidP="00413124">
      <w:pPr>
        <w:spacing w:before="100" w:beforeAutospacing="1" w:after="100" w:afterAutospacing="1" w:line="240" w:lineRule="auto"/>
        <w:rPr>
          <w:rFonts w:ascii="Times New Roman" w:eastAsia="Times New Roman" w:hAnsi="Times New Roman" w:cs="Times New Roman"/>
          <w:b/>
          <w:bCs/>
          <w:sz w:val="24"/>
          <w:szCs w:val="24"/>
          <w:lang w:eastAsia="fr-FR"/>
        </w:rPr>
      </w:pPr>
    </w:p>
    <w:p w:rsidR="000F2DE7" w:rsidRDefault="000F2DE7" w:rsidP="00413124">
      <w:pPr>
        <w:spacing w:before="100" w:beforeAutospacing="1" w:after="100" w:afterAutospacing="1" w:line="240" w:lineRule="auto"/>
        <w:rPr>
          <w:rFonts w:ascii="Times New Roman" w:eastAsia="Times New Roman" w:hAnsi="Times New Roman" w:cs="Times New Roman"/>
          <w:b/>
          <w:bCs/>
          <w:sz w:val="24"/>
          <w:szCs w:val="24"/>
          <w:lang w:eastAsia="fr-FR"/>
        </w:rPr>
      </w:pPr>
    </w:p>
    <w:p w:rsidR="000F2DE7" w:rsidRDefault="000F2DE7" w:rsidP="00413124">
      <w:pPr>
        <w:spacing w:before="100" w:beforeAutospacing="1" w:after="100" w:afterAutospacing="1" w:line="240" w:lineRule="auto"/>
        <w:rPr>
          <w:rFonts w:ascii="Times New Roman" w:eastAsia="Times New Roman" w:hAnsi="Times New Roman" w:cs="Times New Roman"/>
          <w:b/>
          <w:bCs/>
          <w:sz w:val="24"/>
          <w:szCs w:val="24"/>
          <w:lang w:eastAsia="fr-FR"/>
        </w:rPr>
      </w:pPr>
    </w:p>
    <w:p w:rsidR="000F2DE7" w:rsidRDefault="000F2DE7" w:rsidP="00413124">
      <w:pPr>
        <w:spacing w:before="100" w:beforeAutospacing="1" w:after="100" w:afterAutospacing="1" w:line="240" w:lineRule="auto"/>
        <w:rPr>
          <w:rFonts w:ascii="Times New Roman" w:eastAsia="Times New Roman" w:hAnsi="Times New Roman" w:cs="Times New Roman"/>
          <w:b/>
          <w:bCs/>
          <w:sz w:val="24"/>
          <w:szCs w:val="24"/>
          <w:lang w:eastAsia="fr-FR"/>
        </w:rPr>
      </w:pPr>
    </w:p>
    <w:p w:rsidR="000F2DE7" w:rsidRDefault="000F2DE7" w:rsidP="00413124">
      <w:pPr>
        <w:spacing w:before="100" w:beforeAutospacing="1" w:after="100" w:afterAutospacing="1" w:line="240" w:lineRule="auto"/>
        <w:rPr>
          <w:rFonts w:ascii="Times New Roman" w:eastAsia="Times New Roman" w:hAnsi="Times New Roman" w:cs="Times New Roman"/>
          <w:b/>
          <w:bCs/>
          <w:sz w:val="24"/>
          <w:szCs w:val="24"/>
          <w:lang w:eastAsia="fr-FR"/>
        </w:rPr>
      </w:pPr>
    </w:p>
    <w:p w:rsidR="000F2DE7" w:rsidRDefault="000F2DE7" w:rsidP="00413124">
      <w:pPr>
        <w:spacing w:before="100" w:beforeAutospacing="1" w:after="100" w:afterAutospacing="1" w:line="240" w:lineRule="auto"/>
        <w:rPr>
          <w:rFonts w:ascii="Times New Roman" w:eastAsia="Times New Roman" w:hAnsi="Times New Roman" w:cs="Times New Roman"/>
          <w:b/>
          <w:bCs/>
          <w:sz w:val="24"/>
          <w:szCs w:val="24"/>
          <w:lang w:eastAsia="fr-FR"/>
        </w:rPr>
      </w:pPr>
    </w:p>
    <w:p w:rsidR="00C04ECC" w:rsidRDefault="00C04ECC" w:rsidP="00413124">
      <w:pPr>
        <w:spacing w:before="100" w:beforeAutospacing="1" w:after="100" w:afterAutospacing="1" w:line="240" w:lineRule="auto"/>
        <w:rPr>
          <w:rFonts w:ascii="Times New Roman" w:eastAsia="Times New Roman" w:hAnsi="Times New Roman" w:cs="Times New Roman"/>
          <w:b/>
          <w:bCs/>
          <w:sz w:val="24"/>
          <w:szCs w:val="24"/>
          <w:lang w:eastAsia="fr-FR"/>
        </w:rPr>
      </w:pPr>
    </w:p>
    <w:p w:rsidR="0080432E" w:rsidRPr="00973CC3" w:rsidRDefault="0080432E" w:rsidP="0080432E">
      <w:pPr>
        <w:pStyle w:val="NormalWeb"/>
        <w:rPr>
          <w:b/>
          <w:bCs/>
        </w:rPr>
      </w:pPr>
      <w:r w:rsidRPr="00973CC3">
        <w:rPr>
          <w:b/>
          <w:bCs/>
        </w:rPr>
        <w:lastRenderedPageBreak/>
        <w:t xml:space="preserve">La cellule et </w:t>
      </w:r>
      <w:hyperlink r:id="rId21" w:tooltip="Théorie cellulaire" w:history="1">
        <w:r w:rsidRPr="00973CC3">
          <w:rPr>
            <w:rStyle w:val="Lienhypertexte"/>
            <w:b/>
            <w:bCs/>
            <w:color w:val="auto"/>
            <w:u w:val="none"/>
          </w:rPr>
          <w:t>théorie cellulaire</w:t>
        </w:r>
      </w:hyperlink>
    </w:p>
    <w:p w:rsidR="0080432E" w:rsidRPr="00126D91" w:rsidRDefault="0080432E" w:rsidP="0080432E">
      <w:pPr>
        <w:pStyle w:val="NormalWeb"/>
        <w:jc w:val="both"/>
      </w:pPr>
      <w:r w:rsidRPr="00126D91">
        <w:t xml:space="preserve">La </w:t>
      </w:r>
      <w:r w:rsidRPr="00126D91">
        <w:rPr>
          <w:b/>
          <w:bCs/>
        </w:rPr>
        <w:t>cellule</w:t>
      </w:r>
      <w:r w:rsidRPr="00126D91">
        <w:t xml:space="preserve"> (du </w:t>
      </w:r>
      <w:hyperlink r:id="rId22" w:tooltip="Latin" w:history="1">
        <w:r w:rsidRPr="00126D91">
          <w:rPr>
            <w:rStyle w:val="Lienhypertexte"/>
            <w:color w:val="auto"/>
            <w:u w:val="none"/>
          </w:rPr>
          <w:t>latin</w:t>
        </w:r>
      </w:hyperlink>
      <w:r w:rsidRPr="00126D91">
        <w:t xml:space="preserve"> </w:t>
      </w:r>
      <w:proofErr w:type="spellStart"/>
      <w:r w:rsidRPr="00126D91">
        <w:t>cellula</w:t>
      </w:r>
      <w:proofErr w:type="spellEnd"/>
      <w:r w:rsidRPr="00126D91">
        <w:t xml:space="preserve"> petite chambre) est l'unité de structure, fonctionnelle et reproductrice d'un </w:t>
      </w:r>
      <w:hyperlink r:id="rId23" w:tooltip="Être vivant" w:history="1">
        <w:r w:rsidRPr="00126D91">
          <w:rPr>
            <w:rStyle w:val="Lienhypertexte"/>
            <w:color w:val="auto"/>
            <w:u w:val="none"/>
          </w:rPr>
          <w:t>être vivant</w:t>
        </w:r>
      </w:hyperlink>
      <w:r w:rsidRPr="00126D91">
        <w:t xml:space="preserve"> (dont les </w:t>
      </w:r>
      <w:hyperlink r:id="rId24" w:tooltip="Virus" w:history="1">
        <w:r w:rsidRPr="00126D91">
          <w:rPr>
            <w:rStyle w:val="Lienhypertexte"/>
            <w:color w:val="auto"/>
            <w:u w:val="none"/>
          </w:rPr>
          <w:t>virus</w:t>
        </w:r>
      </w:hyperlink>
      <w:r w:rsidRPr="00126D91">
        <w:t xml:space="preserve"> ne font pas partie). Chaque cellule est une entité vivante qui, dans le cas d'</w:t>
      </w:r>
      <w:hyperlink r:id="rId25" w:tooltip="Organisme (physiologie)" w:history="1">
        <w:r w:rsidRPr="00126D91">
          <w:rPr>
            <w:rStyle w:val="Lienhypertexte"/>
            <w:color w:val="auto"/>
            <w:u w:val="none"/>
          </w:rPr>
          <w:t>organismes</w:t>
        </w:r>
      </w:hyperlink>
      <w:r w:rsidRPr="00126D91">
        <w:t xml:space="preserve"> multicellulaires, fonctionne de manière autonome, mais coordonnée avec les autres. Les cellules de même type sont réunies en </w:t>
      </w:r>
      <w:hyperlink r:id="rId26" w:tooltip="Tissu biologique" w:history="1">
        <w:r w:rsidRPr="00126D91">
          <w:rPr>
            <w:rStyle w:val="Lienhypertexte"/>
            <w:color w:val="auto"/>
            <w:u w:val="none"/>
          </w:rPr>
          <w:t>tissus</w:t>
        </w:r>
      </w:hyperlink>
      <w:r w:rsidRPr="00126D91">
        <w:t xml:space="preserve">, eux-mêmes réunis en </w:t>
      </w:r>
      <w:hyperlink r:id="rId27" w:tooltip="Organe" w:history="1">
        <w:r w:rsidRPr="00126D91">
          <w:rPr>
            <w:rStyle w:val="Lienhypertexte"/>
            <w:color w:val="auto"/>
            <w:u w:val="none"/>
          </w:rPr>
          <w:t>organes</w:t>
        </w:r>
      </w:hyperlink>
      <w:r w:rsidRPr="00126D91">
        <w:t>.</w:t>
      </w:r>
    </w:p>
    <w:p w:rsidR="0080432E" w:rsidRPr="00F34886" w:rsidRDefault="0080432E" w:rsidP="0080432E">
      <w:pPr>
        <w:rPr>
          <w:rFonts w:asciiTheme="majorBidi" w:hAnsiTheme="majorBidi" w:cstheme="majorBidi"/>
          <w:sz w:val="24"/>
          <w:szCs w:val="24"/>
        </w:rPr>
      </w:pPr>
      <w:r w:rsidRPr="00F34886">
        <w:rPr>
          <w:rStyle w:val="mw-headline"/>
          <w:rFonts w:asciiTheme="majorBidi" w:hAnsiTheme="majorBidi" w:cstheme="majorBidi"/>
          <w:b/>
          <w:bCs/>
          <w:sz w:val="24"/>
          <w:szCs w:val="24"/>
        </w:rPr>
        <w:t>Théorie cellulaire</w:t>
      </w:r>
    </w:p>
    <w:p w:rsidR="0080432E" w:rsidRPr="00F34886" w:rsidRDefault="0080432E" w:rsidP="0080432E">
      <w:pPr>
        <w:jc w:val="both"/>
        <w:rPr>
          <w:rFonts w:asciiTheme="majorBidi" w:hAnsiTheme="majorBidi" w:cstheme="majorBidi"/>
          <w:sz w:val="24"/>
          <w:szCs w:val="24"/>
        </w:rPr>
      </w:pPr>
      <w:r w:rsidRPr="00F34886">
        <w:rPr>
          <w:rFonts w:asciiTheme="majorBidi" w:hAnsiTheme="majorBidi" w:cstheme="majorBidi"/>
          <w:sz w:val="24"/>
          <w:szCs w:val="24"/>
        </w:rPr>
        <w:t xml:space="preserve">La </w:t>
      </w:r>
      <w:r w:rsidRPr="00F34886">
        <w:rPr>
          <w:rStyle w:val="mw-headline"/>
          <w:rFonts w:asciiTheme="majorBidi" w:hAnsiTheme="majorBidi" w:cstheme="majorBidi"/>
          <w:sz w:val="24"/>
          <w:szCs w:val="24"/>
        </w:rPr>
        <w:t>théorie cellulaire</w:t>
      </w:r>
      <w:r w:rsidRPr="00F34886">
        <w:rPr>
          <w:rFonts w:asciiTheme="majorBidi" w:hAnsiTheme="majorBidi" w:cstheme="majorBidi"/>
          <w:sz w:val="24"/>
          <w:szCs w:val="24"/>
        </w:rPr>
        <w:t xml:space="preserve"> montre que la cellule représente l’unité structurale et fonctionnelle commune à l’organisation de tous les êtres vivants.</w:t>
      </w:r>
    </w:p>
    <w:p w:rsidR="0080432E" w:rsidRPr="00F34886" w:rsidRDefault="0080432E" w:rsidP="0080432E">
      <w:pPr>
        <w:pStyle w:val="NormalWeb"/>
        <w:jc w:val="both"/>
        <w:rPr>
          <w:rFonts w:asciiTheme="majorBidi" w:hAnsiTheme="majorBidi" w:cstheme="majorBidi"/>
        </w:rPr>
      </w:pPr>
      <w:r w:rsidRPr="00F34886">
        <w:rPr>
          <w:rFonts w:asciiTheme="majorBidi" w:hAnsiTheme="majorBidi" w:cstheme="majorBidi"/>
        </w:rPr>
        <w:t xml:space="preserve">La </w:t>
      </w:r>
      <w:hyperlink r:id="rId28" w:tooltip="Théorie cellulaire" w:history="1">
        <w:r w:rsidRPr="00F34886">
          <w:rPr>
            <w:rStyle w:val="Lienhypertexte"/>
            <w:rFonts w:asciiTheme="majorBidi" w:hAnsiTheme="majorBidi" w:cstheme="majorBidi"/>
            <w:color w:val="auto"/>
            <w:u w:val="none"/>
          </w:rPr>
          <w:t>théorie cellulaire</w:t>
        </w:r>
      </w:hyperlink>
      <w:r w:rsidRPr="00F34886">
        <w:rPr>
          <w:rFonts w:asciiTheme="majorBidi" w:hAnsiTheme="majorBidi" w:cstheme="majorBidi"/>
        </w:rPr>
        <w:t xml:space="preserve"> implique l'unité de tout le vivant  : tous les </w:t>
      </w:r>
      <w:hyperlink r:id="rId29" w:tooltip="Vie" w:history="1">
        <w:r w:rsidRPr="00F34886">
          <w:rPr>
            <w:rStyle w:val="Lienhypertexte"/>
            <w:rFonts w:asciiTheme="majorBidi" w:hAnsiTheme="majorBidi" w:cstheme="majorBidi"/>
            <w:color w:val="auto"/>
            <w:u w:val="none"/>
          </w:rPr>
          <w:t>êtres vivants</w:t>
        </w:r>
      </w:hyperlink>
      <w:r w:rsidRPr="00F34886">
        <w:rPr>
          <w:rFonts w:asciiTheme="majorBidi" w:hAnsiTheme="majorBidi" w:cstheme="majorBidi"/>
        </w:rPr>
        <w:t xml:space="preserve"> sont composés de cellules dont la structure fondamentale est commune ainsi que l'</w:t>
      </w:r>
      <w:hyperlink r:id="rId30" w:tooltip="Homéostasie" w:history="1">
        <w:r w:rsidRPr="00F34886">
          <w:rPr>
            <w:rStyle w:val="Lienhypertexte"/>
            <w:rFonts w:asciiTheme="majorBidi" w:hAnsiTheme="majorBidi" w:cstheme="majorBidi"/>
            <w:color w:val="auto"/>
            <w:u w:val="none"/>
          </w:rPr>
          <w:t>homéostasie</w:t>
        </w:r>
      </w:hyperlink>
      <w:r w:rsidRPr="00F34886">
        <w:rPr>
          <w:rFonts w:asciiTheme="majorBidi" w:hAnsiTheme="majorBidi" w:cstheme="majorBidi"/>
        </w:rPr>
        <w:t xml:space="preserve"> du milieu intérieur, milieu de composition physico-chimique régulé et propice au développement des cellules de l'espèce considérée.</w:t>
      </w:r>
    </w:p>
    <w:p w:rsidR="0080432E" w:rsidRPr="00F34886" w:rsidRDefault="0080432E" w:rsidP="0080432E">
      <w:pPr>
        <w:numPr>
          <w:ilvl w:val="0"/>
          <w:numId w:val="1"/>
        </w:numPr>
        <w:spacing w:before="100" w:beforeAutospacing="1" w:after="100" w:afterAutospacing="1" w:line="240" w:lineRule="auto"/>
        <w:jc w:val="both"/>
        <w:rPr>
          <w:rFonts w:asciiTheme="majorBidi" w:eastAsia="Times New Roman" w:hAnsiTheme="majorBidi" w:cstheme="majorBidi"/>
          <w:sz w:val="24"/>
          <w:szCs w:val="24"/>
          <w:lang w:eastAsia="fr-FR"/>
        </w:rPr>
      </w:pPr>
      <w:r w:rsidRPr="00F34886">
        <w:rPr>
          <w:rFonts w:asciiTheme="majorBidi" w:eastAsia="Times New Roman" w:hAnsiTheme="majorBidi" w:cstheme="majorBidi"/>
          <w:sz w:val="24"/>
          <w:szCs w:val="24"/>
          <w:lang w:eastAsia="fr-FR"/>
        </w:rPr>
        <w:t xml:space="preserve">La cellule est l'unité constitutive des organismes vivants. Elle en est aussi l'unité fonctionnelle. </w:t>
      </w:r>
    </w:p>
    <w:p w:rsidR="0080432E" w:rsidRPr="00F34886" w:rsidRDefault="0080432E" w:rsidP="0080432E">
      <w:pPr>
        <w:numPr>
          <w:ilvl w:val="0"/>
          <w:numId w:val="1"/>
        </w:numPr>
        <w:spacing w:before="100" w:beforeAutospacing="1" w:after="100" w:afterAutospacing="1" w:line="240" w:lineRule="auto"/>
        <w:jc w:val="both"/>
        <w:rPr>
          <w:rFonts w:asciiTheme="majorBidi" w:eastAsia="Times New Roman" w:hAnsiTheme="majorBidi" w:cstheme="majorBidi"/>
          <w:sz w:val="24"/>
          <w:szCs w:val="24"/>
          <w:lang w:eastAsia="fr-FR"/>
        </w:rPr>
      </w:pPr>
      <w:r w:rsidRPr="00F34886">
        <w:rPr>
          <w:rFonts w:asciiTheme="majorBidi" w:eastAsia="Times New Roman" w:hAnsiTheme="majorBidi" w:cstheme="majorBidi"/>
          <w:sz w:val="24"/>
          <w:szCs w:val="24"/>
          <w:lang w:eastAsia="fr-FR"/>
        </w:rPr>
        <w:t xml:space="preserve">L'organisme dépend de l'activité des cellules isolées ou groupées en tissus pour assurer les différentes fonctions. </w:t>
      </w:r>
    </w:p>
    <w:p w:rsidR="0080432E" w:rsidRPr="00F34886" w:rsidRDefault="0080432E" w:rsidP="0080432E">
      <w:pPr>
        <w:numPr>
          <w:ilvl w:val="0"/>
          <w:numId w:val="1"/>
        </w:numPr>
        <w:spacing w:before="100" w:beforeAutospacing="1" w:after="100" w:afterAutospacing="1" w:line="240" w:lineRule="auto"/>
        <w:jc w:val="both"/>
        <w:rPr>
          <w:rFonts w:asciiTheme="majorBidi" w:eastAsia="Times New Roman" w:hAnsiTheme="majorBidi" w:cstheme="majorBidi"/>
          <w:sz w:val="24"/>
          <w:szCs w:val="24"/>
          <w:lang w:eastAsia="fr-FR"/>
        </w:rPr>
      </w:pPr>
      <w:r w:rsidRPr="00F34886">
        <w:rPr>
          <w:rFonts w:asciiTheme="majorBidi" w:eastAsia="Times New Roman" w:hAnsiTheme="majorBidi" w:cstheme="majorBidi"/>
          <w:sz w:val="24"/>
          <w:szCs w:val="24"/>
          <w:lang w:eastAsia="fr-FR"/>
        </w:rPr>
        <w:t xml:space="preserve">Les activités biochimiques des cellules sont coordonnées et déterminées par certaines structures présentes à l'intérieur des cellules. </w:t>
      </w:r>
    </w:p>
    <w:p w:rsidR="0080432E" w:rsidRPr="00F34886" w:rsidRDefault="0080432E" w:rsidP="0080432E">
      <w:pPr>
        <w:numPr>
          <w:ilvl w:val="0"/>
          <w:numId w:val="1"/>
        </w:numPr>
        <w:spacing w:before="100" w:beforeAutospacing="1" w:after="100" w:afterAutospacing="1" w:line="240" w:lineRule="auto"/>
        <w:jc w:val="both"/>
        <w:rPr>
          <w:rFonts w:asciiTheme="majorBidi" w:eastAsia="Times New Roman" w:hAnsiTheme="majorBidi" w:cstheme="majorBidi"/>
          <w:sz w:val="24"/>
          <w:szCs w:val="24"/>
          <w:lang w:eastAsia="fr-FR"/>
        </w:rPr>
      </w:pPr>
      <w:r w:rsidRPr="00F34886">
        <w:rPr>
          <w:rFonts w:asciiTheme="majorBidi" w:eastAsia="Times New Roman" w:hAnsiTheme="majorBidi" w:cstheme="majorBidi"/>
          <w:sz w:val="24"/>
          <w:szCs w:val="24"/>
          <w:lang w:eastAsia="fr-FR"/>
        </w:rPr>
        <w:t xml:space="preserve">La multiplication des cellules permet le maintien des organismes et leur multiplication. </w:t>
      </w:r>
    </w:p>
    <w:p w:rsidR="0080432E" w:rsidRPr="00F34886" w:rsidRDefault="0080432E" w:rsidP="0080432E">
      <w:pPr>
        <w:numPr>
          <w:ilvl w:val="0"/>
          <w:numId w:val="1"/>
        </w:numPr>
        <w:spacing w:before="100" w:beforeAutospacing="1" w:after="100" w:afterAutospacing="1" w:line="240" w:lineRule="auto"/>
        <w:jc w:val="both"/>
        <w:rPr>
          <w:rFonts w:asciiTheme="majorBidi" w:eastAsia="Times New Roman" w:hAnsiTheme="majorBidi" w:cstheme="majorBidi"/>
          <w:sz w:val="24"/>
          <w:szCs w:val="24"/>
          <w:lang w:eastAsia="fr-FR"/>
        </w:rPr>
      </w:pPr>
      <w:r w:rsidRPr="00F34886">
        <w:rPr>
          <w:rFonts w:asciiTheme="majorBidi" w:eastAsia="Times New Roman" w:hAnsiTheme="majorBidi" w:cstheme="majorBidi"/>
          <w:sz w:val="24"/>
          <w:szCs w:val="24"/>
          <w:lang w:eastAsia="fr-FR"/>
        </w:rPr>
        <w:t>Cette théorie est formulée en 1838 par Schleiden et Schwann : la cellule est unité de vie (tout ce qui est vivant est cellulaire). Cette théorie évoque également la présence d'</w:t>
      </w:r>
      <w:hyperlink r:id="rId31" w:tooltip="Organite" w:history="1">
        <w:r w:rsidRPr="00F34886">
          <w:rPr>
            <w:rFonts w:asciiTheme="majorBidi" w:eastAsia="Times New Roman" w:hAnsiTheme="majorBidi" w:cstheme="majorBidi"/>
            <w:sz w:val="24"/>
            <w:szCs w:val="24"/>
            <w:lang w:eastAsia="fr-FR"/>
          </w:rPr>
          <w:t>organites</w:t>
        </w:r>
      </w:hyperlink>
      <w:r w:rsidRPr="00F34886">
        <w:rPr>
          <w:rFonts w:asciiTheme="majorBidi" w:eastAsia="Times New Roman" w:hAnsiTheme="majorBidi" w:cstheme="majorBidi"/>
          <w:sz w:val="24"/>
          <w:szCs w:val="24"/>
          <w:lang w:eastAsia="fr-FR"/>
        </w:rPr>
        <w:t xml:space="preserve"> à l'intérieur de ces mêmes cellules. </w:t>
      </w:r>
    </w:p>
    <w:p w:rsidR="0080432E" w:rsidRPr="00F34886" w:rsidRDefault="0080432E" w:rsidP="0080432E">
      <w:pPr>
        <w:numPr>
          <w:ilvl w:val="0"/>
          <w:numId w:val="1"/>
        </w:numPr>
        <w:spacing w:before="100" w:beforeAutospacing="1" w:after="100" w:afterAutospacing="1" w:line="240" w:lineRule="auto"/>
        <w:jc w:val="both"/>
        <w:rPr>
          <w:rFonts w:asciiTheme="majorBidi" w:eastAsia="Times New Roman" w:hAnsiTheme="majorBidi" w:cstheme="majorBidi"/>
          <w:sz w:val="24"/>
          <w:szCs w:val="24"/>
          <w:lang w:eastAsia="fr-FR"/>
        </w:rPr>
      </w:pPr>
      <w:r w:rsidRPr="00F34886">
        <w:rPr>
          <w:rFonts w:asciiTheme="majorBidi" w:eastAsia="Times New Roman" w:hAnsiTheme="majorBidi" w:cstheme="majorBidi"/>
          <w:sz w:val="24"/>
          <w:szCs w:val="24"/>
          <w:lang w:eastAsia="fr-FR"/>
        </w:rPr>
        <w:t xml:space="preserve">La cellule c'est l'unité anatomique, morphologique et physiologique de tout être vivant. </w:t>
      </w:r>
    </w:p>
    <w:p w:rsidR="0080432E" w:rsidRDefault="0080432E" w:rsidP="0080432E">
      <w:pPr>
        <w:rPr>
          <w:rFonts w:asciiTheme="majorBidi" w:hAnsiTheme="majorBidi" w:cstheme="majorBidi"/>
          <w:sz w:val="24"/>
          <w:szCs w:val="24"/>
        </w:rPr>
      </w:pPr>
      <w:r w:rsidRPr="0007321B">
        <w:rPr>
          <w:rFonts w:asciiTheme="majorBidi" w:hAnsiTheme="majorBidi" w:cstheme="majorBidi"/>
          <w:sz w:val="24"/>
          <w:szCs w:val="24"/>
        </w:rPr>
        <w:t>Tous les</w:t>
      </w:r>
      <w:r>
        <w:rPr>
          <w:rFonts w:asciiTheme="majorBidi" w:hAnsiTheme="majorBidi" w:cstheme="majorBidi"/>
          <w:sz w:val="24"/>
          <w:szCs w:val="24"/>
        </w:rPr>
        <w:t xml:space="preserve"> êtres vivants sont constitués de cellules. Il existe deux types d’organismes :</w:t>
      </w:r>
    </w:p>
    <w:p w:rsidR="0080432E" w:rsidRPr="00E41AE0" w:rsidRDefault="0080432E" w:rsidP="0080432E">
      <w:pPr>
        <w:pStyle w:val="Paragraphedeliste"/>
        <w:numPr>
          <w:ilvl w:val="0"/>
          <w:numId w:val="2"/>
        </w:numPr>
        <w:ind w:left="360" w:firstLine="66"/>
        <w:rPr>
          <w:rFonts w:asciiTheme="majorBidi" w:hAnsiTheme="majorBidi" w:cstheme="majorBidi"/>
          <w:sz w:val="24"/>
          <w:szCs w:val="24"/>
        </w:rPr>
      </w:pPr>
      <w:r w:rsidRPr="00E41AE0">
        <w:rPr>
          <w:rFonts w:asciiTheme="majorBidi" w:hAnsiTheme="majorBidi" w:cstheme="majorBidi"/>
          <w:sz w:val="24"/>
          <w:szCs w:val="24"/>
        </w:rPr>
        <w:t xml:space="preserve">Les organismes unicellulaires (une seule cellule) ou protistes, (exemple : Bactérie, amibe, paramécie, algue) se subdivisent en protophytes </w:t>
      </w:r>
      <w:r>
        <w:rPr>
          <w:rFonts w:asciiTheme="majorBidi" w:hAnsiTheme="majorBidi" w:cstheme="majorBidi"/>
          <w:sz w:val="24"/>
          <w:szCs w:val="24"/>
        </w:rPr>
        <w:t xml:space="preserve">du </w:t>
      </w:r>
      <w:r w:rsidRPr="00E41AE0">
        <w:rPr>
          <w:rFonts w:asciiTheme="majorBidi" w:hAnsiTheme="majorBidi" w:cstheme="majorBidi"/>
          <w:sz w:val="24"/>
          <w:szCs w:val="24"/>
        </w:rPr>
        <w:t>règne végétal  et</w:t>
      </w:r>
      <w:r>
        <w:rPr>
          <w:rFonts w:asciiTheme="majorBidi" w:hAnsiTheme="majorBidi" w:cstheme="majorBidi"/>
          <w:sz w:val="24"/>
          <w:szCs w:val="24"/>
        </w:rPr>
        <w:t xml:space="preserve"> </w:t>
      </w:r>
      <w:r w:rsidRPr="00E41AE0">
        <w:rPr>
          <w:rFonts w:asciiTheme="majorBidi" w:hAnsiTheme="majorBidi" w:cstheme="majorBidi"/>
          <w:sz w:val="24"/>
          <w:szCs w:val="24"/>
        </w:rPr>
        <w:t xml:space="preserve">en </w:t>
      </w:r>
      <w:r>
        <w:rPr>
          <w:rFonts w:asciiTheme="majorBidi" w:hAnsiTheme="majorBidi" w:cstheme="majorBidi"/>
          <w:sz w:val="24"/>
          <w:szCs w:val="24"/>
        </w:rPr>
        <w:t>protozoaire du règne animal</w:t>
      </w:r>
    </w:p>
    <w:p w:rsidR="0080432E" w:rsidRDefault="0080432E" w:rsidP="0080432E">
      <w:pPr>
        <w:pStyle w:val="Paragraphedeliste"/>
        <w:numPr>
          <w:ilvl w:val="0"/>
          <w:numId w:val="2"/>
        </w:numPr>
        <w:rPr>
          <w:rFonts w:asciiTheme="majorBidi" w:hAnsiTheme="majorBidi" w:cstheme="majorBidi"/>
          <w:sz w:val="24"/>
          <w:szCs w:val="24"/>
        </w:rPr>
      </w:pPr>
      <w:r w:rsidRPr="00E41AE0">
        <w:rPr>
          <w:rFonts w:asciiTheme="majorBidi" w:hAnsiTheme="majorBidi" w:cstheme="majorBidi"/>
          <w:sz w:val="24"/>
          <w:szCs w:val="24"/>
        </w:rPr>
        <w:t>L</w:t>
      </w:r>
      <w:r>
        <w:rPr>
          <w:rFonts w:asciiTheme="majorBidi" w:hAnsiTheme="majorBidi" w:cstheme="majorBidi"/>
          <w:sz w:val="24"/>
          <w:szCs w:val="24"/>
        </w:rPr>
        <w:t xml:space="preserve">es </w:t>
      </w:r>
      <w:r w:rsidRPr="00E41AE0">
        <w:rPr>
          <w:rFonts w:asciiTheme="majorBidi" w:hAnsiTheme="majorBidi" w:cstheme="majorBidi"/>
          <w:sz w:val="24"/>
          <w:szCs w:val="24"/>
        </w:rPr>
        <w:t>organisme</w:t>
      </w:r>
      <w:r>
        <w:rPr>
          <w:rFonts w:asciiTheme="majorBidi" w:hAnsiTheme="majorBidi" w:cstheme="majorBidi"/>
          <w:sz w:val="24"/>
          <w:szCs w:val="24"/>
        </w:rPr>
        <w:t>s</w:t>
      </w:r>
      <w:r w:rsidRPr="00E41AE0">
        <w:rPr>
          <w:rFonts w:asciiTheme="majorBidi" w:hAnsiTheme="majorBidi" w:cstheme="majorBidi"/>
          <w:sz w:val="24"/>
          <w:szCs w:val="24"/>
        </w:rPr>
        <w:t xml:space="preserve"> pluricellulaire</w:t>
      </w:r>
      <w:r>
        <w:rPr>
          <w:rFonts w:asciiTheme="majorBidi" w:hAnsiTheme="majorBidi" w:cstheme="majorBidi"/>
          <w:sz w:val="24"/>
          <w:szCs w:val="24"/>
        </w:rPr>
        <w:t>s</w:t>
      </w:r>
      <w:r w:rsidRPr="00E41AE0">
        <w:rPr>
          <w:rFonts w:asciiTheme="majorBidi" w:hAnsiTheme="majorBidi" w:cstheme="majorBidi"/>
          <w:sz w:val="24"/>
          <w:szCs w:val="24"/>
        </w:rPr>
        <w:t xml:space="preserve"> (plusieurs cellules), (exemple : L’homme) </w:t>
      </w:r>
      <w:r>
        <w:rPr>
          <w:rFonts w:asciiTheme="majorBidi" w:hAnsiTheme="majorBidi" w:cstheme="majorBidi"/>
          <w:sz w:val="24"/>
          <w:szCs w:val="24"/>
        </w:rPr>
        <w:t xml:space="preserve">sont classés en </w:t>
      </w:r>
      <w:proofErr w:type="spellStart"/>
      <w:r>
        <w:rPr>
          <w:rFonts w:asciiTheme="majorBidi" w:hAnsiTheme="majorBidi" w:cstheme="majorBidi"/>
          <w:sz w:val="24"/>
          <w:szCs w:val="24"/>
        </w:rPr>
        <w:t>métaphytes</w:t>
      </w:r>
      <w:proofErr w:type="spellEnd"/>
      <w:r>
        <w:rPr>
          <w:rFonts w:asciiTheme="majorBidi" w:hAnsiTheme="majorBidi" w:cstheme="majorBidi"/>
          <w:sz w:val="24"/>
          <w:szCs w:val="24"/>
        </w:rPr>
        <w:t xml:space="preserve"> du règne végétale et en métazoaires du règne animal</w:t>
      </w:r>
    </w:p>
    <w:p w:rsidR="0080432E" w:rsidRDefault="0080432E" w:rsidP="0080432E">
      <w:pPr>
        <w:rPr>
          <w:rFonts w:asciiTheme="majorBidi" w:hAnsiTheme="majorBidi" w:cstheme="majorBidi"/>
          <w:sz w:val="24"/>
          <w:szCs w:val="24"/>
        </w:rPr>
      </w:pPr>
      <w:r>
        <w:rPr>
          <w:rFonts w:asciiTheme="majorBidi" w:hAnsiTheme="majorBidi" w:cstheme="majorBidi"/>
          <w:sz w:val="24"/>
          <w:szCs w:val="24"/>
        </w:rPr>
        <w:t xml:space="preserve">En fonction de l’organisation du cytoplasme, on trouve deux types de cellules :  </w:t>
      </w:r>
    </w:p>
    <w:p w:rsidR="0080432E" w:rsidRDefault="0080432E" w:rsidP="0080432E">
      <w:pPr>
        <w:pStyle w:val="Paragraphedeliste"/>
        <w:numPr>
          <w:ilvl w:val="0"/>
          <w:numId w:val="2"/>
        </w:numPr>
        <w:rPr>
          <w:rFonts w:asciiTheme="majorBidi" w:hAnsiTheme="majorBidi" w:cstheme="majorBidi"/>
          <w:sz w:val="24"/>
          <w:szCs w:val="24"/>
        </w:rPr>
      </w:pPr>
      <w:r>
        <w:rPr>
          <w:rFonts w:asciiTheme="majorBidi" w:hAnsiTheme="majorBidi" w:cstheme="majorBidi"/>
          <w:sz w:val="24"/>
          <w:szCs w:val="24"/>
        </w:rPr>
        <w:t>La cellule procaryote (absence de noyau)</w:t>
      </w:r>
    </w:p>
    <w:p w:rsidR="0080432E" w:rsidRDefault="0080432E" w:rsidP="0080432E">
      <w:pPr>
        <w:pStyle w:val="Paragraphedeliste"/>
        <w:numPr>
          <w:ilvl w:val="0"/>
          <w:numId w:val="2"/>
        </w:numPr>
        <w:rPr>
          <w:rFonts w:asciiTheme="majorBidi" w:hAnsiTheme="majorBidi" w:cstheme="majorBidi"/>
          <w:sz w:val="24"/>
          <w:szCs w:val="24"/>
        </w:rPr>
      </w:pPr>
      <w:r>
        <w:rPr>
          <w:rFonts w:asciiTheme="majorBidi" w:hAnsiTheme="majorBidi" w:cstheme="majorBidi"/>
          <w:sz w:val="24"/>
          <w:szCs w:val="24"/>
        </w:rPr>
        <w:t>La cellule eucaryote (présence de noyau)</w:t>
      </w:r>
    </w:p>
    <w:p w:rsidR="0080432E" w:rsidRDefault="0080432E" w:rsidP="0080432E">
      <w:pPr>
        <w:spacing w:before="100" w:beforeAutospacing="1" w:after="100" w:afterAutospacing="1" w:line="240" w:lineRule="auto"/>
        <w:rPr>
          <w:rFonts w:ascii="Times New Roman" w:eastAsia="Times New Roman" w:hAnsi="Times New Roman" w:cs="Times New Roman"/>
          <w:sz w:val="24"/>
          <w:szCs w:val="24"/>
          <w:lang w:eastAsia="fr-FR"/>
        </w:rPr>
      </w:pPr>
      <w:r w:rsidRPr="005829B3">
        <w:rPr>
          <w:rFonts w:ascii="Times New Roman" w:eastAsia="Times New Roman" w:hAnsi="Times New Roman" w:cs="Times New Roman"/>
          <w:sz w:val="24"/>
          <w:szCs w:val="24"/>
          <w:lang w:eastAsia="fr-FR"/>
        </w:rPr>
        <w:t>Les eucaryotes comprennent un</w:t>
      </w:r>
      <w:r>
        <w:rPr>
          <w:rFonts w:ascii="Times New Roman" w:eastAsia="Times New Roman" w:hAnsi="Times New Roman" w:cs="Times New Roman"/>
          <w:sz w:val="24"/>
          <w:szCs w:val="24"/>
          <w:lang w:eastAsia="fr-FR"/>
        </w:rPr>
        <w:t xml:space="preserve"> </w:t>
      </w:r>
      <w:r w:rsidRPr="005829B3">
        <w:rPr>
          <w:rFonts w:ascii="Times New Roman" w:eastAsia="Times New Roman" w:hAnsi="Times New Roman" w:cs="Times New Roman"/>
          <w:sz w:val="24"/>
          <w:szCs w:val="24"/>
          <w:lang w:eastAsia="fr-FR"/>
        </w:rPr>
        <w:t xml:space="preserve">grand nombre de formes d'organismes unicellulaires et multicellulaires. </w:t>
      </w:r>
    </w:p>
    <w:p w:rsidR="0080432E" w:rsidRDefault="0080432E" w:rsidP="0080432E">
      <w:pPr>
        <w:spacing w:before="100" w:beforeAutospacing="1" w:after="100" w:afterAutospacing="1" w:line="240" w:lineRule="auto"/>
        <w:rPr>
          <w:rFonts w:ascii="Times New Roman" w:eastAsia="Times New Roman" w:hAnsi="Times New Roman" w:cs="Times New Roman"/>
          <w:b/>
          <w:bCs/>
          <w:sz w:val="24"/>
          <w:szCs w:val="24"/>
          <w:lang w:eastAsia="fr-FR"/>
        </w:rPr>
      </w:pPr>
    </w:p>
    <w:p w:rsidR="00413124" w:rsidRDefault="00413124" w:rsidP="00DC1D8F">
      <w:pPr>
        <w:spacing w:before="100" w:beforeAutospacing="1" w:after="100" w:afterAutospacing="1" w:line="240" w:lineRule="auto"/>
        <w:rPr>
          <w:rFonts w:ascii="Times New Roman" w:eastAsia="Times New Roman" w:hAnsi="Times New Roman" w:cs="Times New Roman"/>
          <w:b/>
          <w:bCs/>
          <w:sz w:val="24"/>
          <w:szCs w:val="24"/>
          <w:lang w:eastAsia="fr-FR"/>
        </w:rPr>
      </w:pPr>
      <w:r w:rsidRPr="00413124">
        <w:rPr>
          <w:rFonts w:ascii="Times New Roman" w:eastAsia="Times New Roman" w:hAnsi="Times New Roman" w:cs="Times New Roman"/>
          <w:b/>
          <w:bCs/>
          <w:sz w:val="24"/>
          <w:szCs w:val="24"/>
          <w:lang w:eastAsia="fr-FR"/>
        </w:rPr>
        <w:lastRenderedPageBreak/>
        <w:t>Types cel</w:t>
      </w:r>
      <w:r w:rsidR="00DC1D8F">
        <w:rPr>
          <w:rFonts w:ascii="Times New Roman" w:eastAsia="Times New Roman" w:hAnsi="Times New Roman" w:cs="Times New Roman"/>
          <w:b/>
          <w:bCs/>
          <w:sz w:val="24"/>
          <w:szCs w:val="24"/>
          <w:lang w:eastAsia="fr-FR"/>
        </w:rPr>
        <w:t>lulaires: Procaryote, Eucaryote</w:t>
      </w:r>
    </w:p>
    <w:p w:rsidR="00893FF0" w:rsidRDefault="009B613F" w:rsidP="00413124">
      <w:pPr>
        <w:spacing w:before="100" w:beforeAutospacing="1" w:after="100" w:afterAutospacing="1" w:line="240" w:lineRule="auto"/>
        <w:rPr>
          <w:rFonts w:ascii="Times New Roman" w:eastAsia="Times New Roman" w:hAnsi="Times New Roman" w:cs="Times New Roman"/>
          <w:b/>
          <w:bCs/>
          <w:sz w:val="24"/>
          <w:szCs w:val="24"/>
          <w:lang w:eastAsia="fr-FR"/>
        </w:rPr>
      </w:pPr>
      <w:r>
        <w:rPr>
          <w:rFonts w:ascii="Times New Roman" w:eastAsia="Times New Roman" w:hAnsi="Times New Roman" w:cs="Times New Roman"/>
          <w:b/>
          <w:bCs/>
          <w:sz w:val="24"/>
          <w:szCs w:val="24"/>
          <w:lang w:eastAsia="fr-FR"/>
        </w:rPr>
        <w:t xml:space="preserve">Structure de la cellule </w:t>
      </w:r>
      <w:r w:rsidRPr="00413124">
        <w:rPr>
          <w:rFonts w:ascii="Times New Roman" w:eastAsia="Times New Roman" w:hAnsi="Times New Roman" w:cs="Times New Roman"/>
          <w:b/>
          <w:bCs/>
          <w:sz w:val="24"/>
          <w:szCs w:val="24"/>
          <w:lang w:eastAsia="fr-FR"/>
        </w:rPr>
        <w:t>Procaryote</w:t>
      </w:r>
    </w:p>
    <w:p w:rsidR="009B613F" w:rsidRPr="00D96D05" w:rsidRDefault="00D96D05" w:rsidP="00413124">
      <w:pPr>
        <w:spacing w:before="100" w:beforeAutospacing="1" w:after="100" w:afterAutospacing="1" w:line="240" w:lineRule="auto"/>
        <w:rPr>
          <w:rFonts w:ascii="Times New Roman" w:eastAsia="Times New Roman" w:hAnsi="Times New Roman" w:cs="Times New Roman"/>
          <w:sz w:val="24"/>
          <w:szCs w:val="24"/>
          <w:lang w:eastAsia="fr-FR"/>
        </w:rPr>
      </w:pPr>
      <w:r w:rsidRPr="00D96D05">
        <w:rPr>
          <w:rFonts w:ascii="Times New Roman" w:eastAsia="Times New Roman" w:hAnsi="Times New Roman" w:cs="Times New Roman"/>
          <w:sz w:val="24"/>
          <w:szCs w:val="24"/>
          <w:lang w:eastAsia="fr-FR"/>
        </w:rPr>
        <w:t xml:space="preserve">Sont </w:t>
      </w:r>
      <w:r>
        <w:rPr>
          <w:rFonts w:ascii="Times New Roman" w:eastAsia="Times New Roman" w:hAnsi="Times New Roman" w:cs="Times New Roman"/>
          <w:sz w:val="24"/>
          <w:szCs w:val="24"/>
          <w:lang w:eastAsia="fr-FR"/>
        </w:rPr>
        <w:t>les plus anciennes apparues sur terre (depuis 3,5 milliard d’années</w:t>
      </w:r>
      <w:r w:rsidR="00144B64">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 xml:space="preserve"> </w:t>
      </w:r>
    </w:p>
    <w:p w:rsidR="006C1E93" w:rsidRDefault="006C1E93" w:rsidP="006C1E93">
      <w:pPr>
        <w:rPr>
          <w:rFonts w:asciiTheme="majorBidi" w:hAnsiTheme="majorBidi" w:cstheme="majorBidi"/>
          <w:b/>
          <w:bCs/>
          <w:sz w:val="24"/>
          <w:szCs w:val="24"/>
        </w:rPr>
      </w:pPr>
      <w:r w:rsidRPr="008941AA">
        <w:rPr>
          <w:rFonts w:asciiTheme="majorBidi" w:hAnsiTheme="majorBidi" w:cstheme="majorBidi"/>
          <w:b/>
          <w:bCs/>
          <w:sz w:val="24"/>
          <w:szCs w:val="24"/>
        </w:rPr>
        <w:t>La cellule procaryote</w:t>
      </w:r>
    </w:p>
    <w:p w:rsidR="006C1E93" w:rsidRDefault="006C1E93" w:rsidP="006C1E93">
      <w:pPr>
        <w:pStyle w:val="NormalWeb"/>
        <w:jc w:val="both"/>
        <w:rPr>
          <w:rFonts w:asciiTheme="majorBidi" w:hAnsiTheme="majorBidi" w:cstheme="majorBidi"/>
        </w:rPr>
      </w:pPr>
      <w:r w:rsidRPr="006C1E93">
        <w:rPr>
          <w:rFonts w:asciiTheme="majorBidi" w:hAnsiTheme="majorBidi" w:cstheme="majorBidi"/>
        </w:rPr>
        <w:t xml:space="preserve">Un procaryote (du </w:t>
      </w:r>
      <w:hyperlink r:id="rId32" w:tooltip="Latin" w:history="1">
        <w:r w:rsidRPr="006C1E93">
          <w:rPr>
            <w:rStyle w:val="Lienhypertexte"/>
            <w:rFonts w:asciiTheme="majorBidi" w:hAnsiTheme="majorBidi" w:cstheme="majorBidi"/>
            <w:color w:val="auto"/>
            <w:u w:val="none"/>
          </w:rPr>
          <w:t>latin</w:t>
        </w:r>
      </w:hyperlink>
      <w:r w:rsidRPr="006C1E93">
        <w:rPr>
          <w:rFonts w:asciiTheme="majorBidi" w:hAnsiTheme="majorBidi" w:cstheme="majorBidi"/>
        </w:rPr>
        <w:t xml:space="preserve"> </w:t>
      </w:r>
      <w:r w:rsidRPr="006C1E93">
        <w:rPr>
          <w:rFonts w:asciiTheme="majorBidi" w:hAnsiTheme="majorBidi" w:cstheme="majorBidi"/>
          <w:i/>
          <w:iCs/>
        </w:rPr>
        <w:t>pro</w:t>
      </w:r>
      <w:r w:rsidRPr="006C1E93">
        <w:rPr>
          <w:rFonts w:asciiTheme="majorBidi" w:hAnsiTheme="majorBidi" w:cstheme="majorBidi"/>
        </w:rPr>
        <w:t xml:space="preserve">, «avant», et du </w:t>
      </w:r>
      <w:hyperlink r:id="rId33" w:tooltip="Grec ancien" w:history="1">
        <w:r w:rsidRPr="006C1E93">
          <w:rPr>
            <w:rStyle w:val="Lienhypertexte"/>
            <w:rFonts w:asciiTheme="majorBidi" w:hAnsiTheme="majorBidi" w:cstheme="majorBidi"/>
            <w:color w:val="auto"/>
            <w:u w:val="none"/>
          </w:rPr>
          <w:t>grec</w:t>
        </w:r>
      </w:hyperlink>
      <w:r w:rsidRPr="006C1E93">
        <w:rPr>
          <w:rFonts w:asciiTheme="majorBidi" w:hAnsiTheme="majorBidi" w:cstheme="majorBidi"/>
        </w:rPr>
        <w:t xml:space="preserve"> </w:t>
      </w:r>
      <w:proofErr w:type="spellStart"/>
      <w:r w:rsidRPr="006C1E93">
        <w:rPr>
          <w:rFonts w:asciiTheme="majorBidi" w:hAnsiTheme="majorBidi" w:cstheme="majorBidi"/>
        </w:rPr>
        <w:t>karyon</w:t>
      </w:r>
      <w:proofErr w:type="spellEnd"/>
      <w:r w:rsidRPr="006C1E93">
        <w:rPr>
          <w:rFonts w:asciiTheme="majorBidi" w:hAnsiTheme="majorBidi" w:cstheme="majorBidi"/>
        </w:rPr>
        <w:t xml:space="preserve">, « noyau ») est un </w:t>
      </w:r>
      <w:hyperlink r:id="rId34" w:tooltip="Être vivant" w:history="1">
        <w:r w:rsidRPr="006C1E93">
          <w:rPr>
            <w:rStyle w:val="Lienhypertexte"/>
            <w:rFonts w:asciiTheme="majorBidi" w:hAnsiTheme="majorBidi" w:cstheme="majorBidi"/>
            <w:color w:val="auto"/>
            <w:u w:val="none"/>
          </w:rPr>
          <w:t>être vivant</w:t>
        </w:r>
      </w:hyperlink>
      <w:r w:rsidRPr="006C1E93">
        <w:rPr>
          <w:rFonts w:asciiTheme="majorBidi" w:hAnsiTheme="majorBidi" w:cstheme="majorBidi"/>
        </w:rPr>
        <w:t xml:space="preserve"> </w:t>
      </w:r>
      <w:hyperlink r:id="rId35" w:tooltip="Unicellulaire" w:history="1">
        <w:r w:rsidRPr="006C1E93">
          <w:rPr>
            <w:rStyle w:val="Lienhypertexte"/>
            <w:rFonts w:asciiTheme="majorBidi" w:hAnsiTheme="majorBidi" w:cstheme="majorBidi"/>
            <w:color w:val="auto"/>
            <w:u w:val="none"/>
          </w:rPr>
          <w:t>unicellulaire</w:t>
        </w:r>
      </w:hyperlink>
      <w:r w:rsidRPr="006C1E93">
        <w:rPr>
          <w:rFonts w:asciiTheme="majorBidi" w:hAnsiTheme="majorBidi" w:cstheme="majorBidi"/>
        </w:rPr>
        <w:t xml:space="preserve"> dont la structure </w:t>
      </w:r>
      <w:hyperlink r:id="rId36" w:tooltip="Cellule (biologie)" w:history="1">
        <w:r w:rsidRPr="006C1E93">
          <w:rPr>
            <w:rStyle w:val="Lienhypertexte"/>
            <w:rFonts w:asciiTheme="majorBidi" w:hAnsiTheme="majorBidi" w:cstheme="majorBidi"/>
            <w:color w:val="auto"/>
            <w:u w:val="none"/>
          </w:rPr>
          <w:t>cellulaire</w:t>
        </w:r>
      </w:hyperlink>
      <w:r w:rsidRPr="006C1E93">
        <w:rPr>
          <w:rFonts w:asciiTheme="majorBidi" w:hAnsiTheme="majorBidi" w:cstheme="majorBidi"/>
        </w:rPr>
        <w:t xml:space="preserve"> ne comporte pas de </w:t>
      </w:r>
      <w:hyperlink r:id="rId37" w:tooltip="Noyau (biologie)" w:history="1">
        <w:r w:rsidRPr="006C1E93">
          <w:rPr>
            <w:rStyle w:val="Lienhypertexte"/>
            <w:rFonts w:asciiTheme="majorBidi" w:hAnsiTheme="majorBidi" w:cstheme="majorBidi"/>
            <w:color w:val="auto"/>
            <w:u w:val="none"/>
          </w:rPr>
          <w:t>noyau</w:t>
        </w:r>
      </w:hyperlink>
      <w:r w:rsidRPr="006C1E93">
        <w:rPr>
          <w:rFonts w:asciiTheme="majorBidi" w:hAnsiTheme="majorBidi" w:cstheme="majorBidi"/>
        </w:rPr>
        <w:t xml:space="preserve">. Les procaryotes ne possèdent que très rarement des </w:t>
      </w:r>
      <w:hyperlink r:id="rId38" w:tooltip="Organite" w:history="1">
        <w:r w:rsidRPr="006C1E93">
          <w:rPr>
            <w:rStyle w:val="Lienhypertexte"/>
            <w:rFonts w:asciiTheme="majorBidi" w:hAnsiTheme="majorBidi" w:cstheme="majorBidi"/>
            <w:color w:val="auto"/>
            <w:u w:val="none"/>
          </w:rPr>
          <w:t>organites</w:t>
        </w:r>
      </w:hyperlink>
      <w:r w:rsidRPr="006C1E93">
        <w:rPr>
          <w:rFonts w:asciiTheme="majorBidi" w:hAnsiTheme="majorBidi" w:cstheme="majorBidi"/>
        </w:rPr>
        <w:t xml:space="preserve">. Les procaryotes regroupent les </w:t>
      </w:r>
      <w:hyperlink r:id="rId39" w:tooltip="Archaea" w:history="1">
        <w:r w:rsidRPr="006C1E93">
          <w:rPr>
            <w:rStyle w:val="Lienhypertexte"/>
            <w:rFonts w:asciiTheme="majorBidi" w:hAnsiTheme="majorBidi" w:cstheme="majorBidi"/>
            <w:color w:val="auto"/>
            <w:u w:val="none"/>
          </w:rPr>
          <w:t>archées</w:t>
        </w:r>
      </w:hyperlink>
      <w:r w:rsidRPr="006C1E93">
        <w:rPr>
          <w:rFonts w:asciiTheme="majorBidi" w:hAnsiTheme="majorBidi" w:cstheme="majorBidi"/>
        </w:rPr>
        <w:t xml:space="preserve"> et les </w:t>
      </w:r>
      <w:hyperlink r:id="rId40" w:tooltip="Bactérie" w:history="1">
        <w:r w:rsidRPr="006C1E93">
          <w:rPr>
            <w:rStyle w:val="Lienhypertexte"/>
            <w:rFonts w:asciiTheme="majorBidi" w:hAnsiTheme="majorBidi" w:cstheme="majorBidi"/>
            <w:color w:val="auto"/>
            <w:u w:val="none"/>
          </w:rPr>
          <w:t>bactéries</w:t>
        </w:r>
      </w:hyperlink>
      <w:r>
        <w:rPr>
          <w:rFonts w:asciiTheme="majorBidi" w:hAnsiTheme="majorBidi" w:cstheme="majorBidi"/>
        </w:rPr>
        <w:t>.</w:t>
      </w:r>
      <w:r w:rsidRPr="00201CEE">
        <w:rPr>
          <w:rFonts w:ascii="Cambria Math" w:hAnsi="Cambria Math" w:cstheme="majorBidi"/>
        </w:rPr>
        <w:t> </w:t>
      </w:r>
    </w:p>
    <w:p w:rsidR="006C1E93" w:rsidRPr="00201CEE" w:rsidRDefault="006C1E93" w:rsidP="006C1E93">
      <w:pPr>
        <w:pStyle w:val="NormalWeb"/>
        <w:jc w:val="center"/>
        <w:rPr>
          <w:rFonts w:asciiTheme="majorBidi" w:hAnsiTheme="majorBidi" w:cstheme="majorBidi"/>
        </w:rPr>
      </w:pPr>
      <w:r w:rsidRPr="001000EE">
        <w:rPr>
          <w:rFonts w:asciiTheme="majorBidi" w:hAnsiTheme="majorBidi" w:cstheme="majorBidi"/>
          <w:noProof/>
        </w:rPr>
        <w:drawing>
          <wp:inline distT="0" distB="0" distL="0" distR="0">
            <wp:extent cx="3083322" cy="2671638"/>
            <wp:effectExtent l="19050" t="0" r="2778" b="0"/>
            <wp:docPr id="11"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1"/>
                    <a:srcRect/>
                    <a:stretch>
                      <a:fillRect/>
                    </a:stretch>
                  </pic:blipFill>
                  <pic:spPr bwMode="auto">
                    <a:xfrm>
                      <a:off x="0" y="0"/>
                      <a:ext cx="3083557" cy="2671841"/>
                    </a:xfrm>
                    <a:prstGeom prst="rect">
                      <a:avLst/>
                    </a:prstGeom>
                    <a:noFill/>
                    <a:ln w="9525">
                      <a:noFill/>
                      <a:miter lim="800000"/>
                      <a:headEnd/>
                      <a:tailEnd/>
                    </a:ln>
                  </pic:spPr>
                </pic:pic>
              </a:graphicData>
            </a:graphic>
          </wp:inline>
        </w:drawing>
      </w:r>
    </w:p>
    <w:p w:rsidR="008846B9" w:rsidRDefault="008846B9" w:rsidP="006C1E93">
      <w:pPr>
        <w:spacing w:before="100" w:beforeAutospacing="1" w:after="100" w:afterAutospacing="1" w:line="240" w:lineRule="auto"/>
        <w:rPr>
          <w:rFonts w:asciiTheme="majorBidi" w:hAnsiTheme="majorBidi" w:cstheme="majorBidi"/>
          <w:sz w:val="24"/>
          <w:szCs w:val="24"/>
        </w:rPr>
      </w:pPr>
      <w:r w:rsidRPr="0022012D">
        <w:rPr>
          <w:rStyle w:val="lev"/>
          <w:rFonts w:asciiTheme="majorBidi" w:hAnsiTheme="majorBidi" w:cstheme="majorBidi"/>
          <w:sz w:val="24"/>
          <w:szCs w:val="24"/>
        </w:rPr>
        <w:t>Acaryotes</w:t>
      </w:r>
    </w:p>
    <w:p w:rsidR="006C1E93" w:rsidRPr="0022012D" w:rsidRDefault="006C1E93" w:rsidP="006C1E93">
      <w:pPr>
        <w:spacing w:before="100" w:beforeAutospacing="1" w:after="100" w:afterAutospacing="1" w:line="240" w:lineRule="auto"/>
        <w:rPr>
          <w:rFonts w:asciiTheme="majorBidi" w:hAnsiTheme="majorBidi" w:cstheme="majorBidi"/>
          <w:sz w:val="24"/>
          <w:szCs w:val="24"/>
        </w:rPr>
      </w:pPr>
      <w:r w:rsidRPr="0022012D">
        <w:rPr>
          <w:rFonts w:asciiTheme="majorBidi" w:hAnsiTheme="majorBidi" w:cstheme="majorBidi"/>
          <w:sz w:val="24"/>
          <w:szCs w:val="24"/>
        </w:rPr>
        <w:t xml:space="preserve">Les virus, ou </w:t>
      </w:r>
      <w:r w:rsidRPr="0022012D">
        <w:rPr>
          <w:rStyle w:val="lev"/>
          <w:rFonts w:asciiTheme="majorBidi" w:hAnsiTheme="majorBidi" w:cstheme="majorBidi"/>
          <w:sz w:val="24"/>
          <w:szCs w:val="24"/>
        </w:rPr>
        <w:t>acaryotes</w:t>
      </w:r>
      <w:r w:rsidRPr="0022012D">
        <w:rPr>
          <w:rFonts w:asciiTheme="majorBidi" w:hAnsiTheme="majorBidi" w:cstheme="majorBidi"/>
          <w:b/>
          <w:bCs/>
          <w:sz w:val="24"/>
          <w:szCs w:val="24"/>
        </w:rPr>
        <w:t>,</w:t>
      </w:r>
      <w:r w:rsidRPr="0022012D">
        <w:rPr>
          <w:rFonts w:asciiTheme="majorBidi" w:hAnsiTheme="majorBidi" w:cstheme="majorBidi"/>
          <w:sz w:val="24"/>
          <w:szCs w:val="24"/>
        </w:rPr>
        <w:t xml:space="preserve"> sont des éléments et non des cellules qui ne possèdent ni de noyaux ni de cytoplasme et ne peuvent se reproduire qu’en parasitant une cellule hôte en détournant la machinerie cellulaire.</w:t>
      </w:r>
    </w:p>
    <w:p w:rsidR="006C1E93" w:rsidRPr="00D87B53" w:rsidRDefault="006C1E93" w:rsidP="006C1E93">
      <w:pPr>
        <w:spacing w:before="100" w:beforeAutospacing="1" w:after="100" w:afterAutospacing="1" w:line="240" w:lineRule="auto"/>
        <w:rPr>
          <w:rFonts w:ascii="Times New Roman" w:eastAsia="Times New Roman" w:hAnsi="Times New Roman" w:cs="Times New Roman"/>
          <w:sz w:val="24"/>
          <w:szCs w:val="24"/>
          <w:lang w:eastAsia="fr-FR"/>
        </w:rPr>
      </w:pPr>
      <w:r w:rsidRPr="00D87B53">
        <w:rPr>
          <w:rFonts w:asciiTheme="majorBidi" w:hAnsiTheme="majorBidi" w:cstheme="majorBidi"/>
          <w:b/>
          <w:bCs/>
          <w:sz w:val="24"/>
          <w:szCs w:val="24"/>
        </w:rPr>
        <w:t>La cellule eucaryote</w:t>
      </w:r>
    </w:p>
    <w:p w:rsidR="006C1E93" w:rsidRDefault="006C1E93" w:rsidP="006C1E93">
      <w:pPr>
        <w:spacing w:before="100" w:beforeAutospacing="1" w:after="100" w:afterAutospacing="1" w:line="240" w:lineRule="auto"/>
        <w:jc w:val="both"/>
        <w:rPr>
          <w:rFonts w:asciiTheme="majorBidi" w:eastAsia="Times New Roman" w:hAnsiTheme="majorBidi" w:cstheme="majorBidi"/>
          <w:sz w:val="24"/>
          <w:szCs w:val="24"/>
          <w:lang w:eastAsia="fr-FR"/>
        </w:rPr>
      </w:pPr>
      <w:r w:rsidRPr="00C700F3">
        <w:rPr>
          <w:rFonts w:asciiTheme="majorBidi" w:hAnsiTheme="majorBidi" w:cstheme="majorBidi"/>
          <w:sz w:val="24"/>
          <w:szCs w:val="24"/>
        </w:rPr>
        <w:t xml:space="preserve">Les </w:t>
      </w:r>
      <w:r w:rsidRPr="00C700F3">
        <w:rPr>
          <w:rStyle w:val="lev"/>
          <w:rFonts w:asciiTheme="majorBidi" w:hAnsiTheme="majorBidi" w:cstheme="majorBidi"/>
          <w:sz w:val="24"/>
          <w:szCs w:val="24"/>
        </w:rPr>
        <w:t>eucaryotes</w:t>
      </w:r>
      <w:r w:rsidRPr="00C700F3">
        <w:rPr>
          <w:rFonts w:asciiTheme="majorBidi" w:hAnsiTheme="majorBidi" w:cstheme="majorBidi"/>
          <w:sz w:val="24"/>
          <w:szCs w:val="24"/>
        </w:rPr>
        <w:t xml:space="preserve"> (ou « noyau-vrai ») possèdent un noyau, compartiment séparé du reste du contenu cellulaire, qui contient l’ADN.</w:t>
      </w:r>
    </w:p>
    <w:p w:rsidR="006C1E93" w:rsidRDefault="006C1E93" w:rsidP="006C1E93">
      <w:pPr>
        <w:pStyle w:val="NormalWeb"/>
        <w:jc w:val="both"/>
      </w:pPr>
      <w:r w:rsidRPr="009C301F">
        <w:t xml:space="preserve">Les eucaryotes correspondent aux organismes multicellulaires (animaux, plantes, champignons) ainsi qu’à quelques eucaryotes unicellulaires. </w:t>
      </w:r>
    </w:p>
    <w:p w:rsidR="006C1E93" w:rsidRPr="009C301F" w:rsidRDefault="006C1E93" w:rsidP="00034B73">
      <w:pPr>
        <w:pStyle w:val="NormalWeb"/>
        <w:jc w:val="both"/>
      </w:pPr>
      <w:r w:rsidRPr="009C301F">
        <w:t xml:space="preserve">Les eucaryotes monocellulaires correspondent aux </w:t>
      </w:r>
      <w:r w:rsidRPr="00D403B9">
        <w:rPr>
          <w:rStyle w:val="lev"/>
        </w:rPr>
        <w:t>protistes</w:t>
      </w:r>
      <w:r w:rsidRPr="009C301F">
        <w:t xml:space="preserve"> qui sont de deux types : animal les </w:t>
      </w:r>
      <w:r w:rsidRPr="00D403B9">
        <w:rPr>
          <w:rStyle w:val="lev"/>
        </w:rPr>
        <w:t>protozoaires</w:t>
      </w:r>
      <w:r w:rsidRPr="00D403B9">
        <w:rPr>
          <w:b/>
          <w:bCs/>
        </w:rPr>
        <w:t xml:space="preserve"> </w:t>
      </w:r>
      <w:r w:rsidRPr="009C301F">
        <w:t xml:space="preserve">et végétal les </w:t>
      </w:r>
      <w:r w:rsidRPr="00D403B9">
        <w:rPr>
          <w:rStyle w:val="lev"/>
        </w:rPr>
        <w:t>protophytes</w:t>
      </w:r>
      <w:r w:rsidRPr="00D403B9">
        <w:rPr>
          <w:b/>
          <w:bCs/>
        </w:rPr>
        <w:t>.</w:t>
      </w:r>
      <w:r w:rsidRPr="009C301F">
        <w:t xml:space="preserve"> </w:t>
      </w:r>
    </w:p>
    <w:p w:rsidR="006C1E93" w:rsidRPr="009C301F" w:rsidRDefault="006C1E93" w:rsidP="006C1E93">
      <w:pPr>
        <w:pStyle w:val="NormalWeb"/>
      </w:pPr>
      <w:r w:rsidRPr="009C301F">
        <w:t xml:space="preserve">Les cellules végétales contiennent des chloroplastes </w:t>
      </w:r>
    </w:p>
    <w:p w:rsidR="006C1E93" w:rsidRPr="009C301F" w:rsidRDefault="006C1E93" w:rsidP="006C1E93">
      <w:pPr>
        <w:spacing w:before="100" w:beforeAutospacing="1" w:after="100" w:afterAutospacing="1" w:line="240" w:lineRule="auto"/>
        <w:rPr>
          <w:rFonts w:asciiTheme="majorBidi" w:eastAsia="Times New Roman" w:hAnsiTheme="majorBidi" w:cstheme="majorBidi"/>
          <w:sz w:val="24"/>
          <w:szCs w:val="24"/>
          <w:lang w:eastAsia="fr-FR"/>
        </w:rPr>
      </w:pPr>
    </w:p>
    <w:p w:rsidR="008A50E4" w:rsidRPr="00711B8E" w:rsidRDefault="008A50E4" w:rsidP="008A50E4">
      <w:pPr>
        <w:pStyle w:val="Titre1"/>
        <w:rPr>
          <w:rFonts w:asciiTheme="majorBidi" w:hAnsiTheme="majorBidi" w:cstheme="majorBidi"/>
          <w:sz w:val="28"/>
          <w:szCs w:val="28"/>
        </w:rPr>
      </w:pPr>
      <w:r w:rsidRPr="00711B8E">
        <w:rPr>
          <w:rFonts w:asciiTheme="majorBidi" w:hAnsiTheme="majorBidi" w:cstheme="majorBidi"/>
          <w:sz w:val="28"/>
          <w:szCs w:val="28"/>
        </w:rPr>
        <w:lastRenderedPageBreak/>
        <w:t xml:space="preserve">Paramécie </w:t>
      </w:r>
      <w:r>
        <w:rPr>
          <w:rFonts w:asciiTheme="majorBidi" w:hAnsiTheme="majorBidi" w:cstheme="majorBidi"/>
          <w:sz w:val="28"/>
          <w:szCs w:val="28"/>
        </w:rPr>
        <w:t>et amibe</w:t>
      </w:r>
    </w:p>
    <w:p w:rsidR="008A50E4" w:rsidRPr="00711B8E" w:rsidRDefault="008A50E4" w:rsidP="008A50E4">
      <w:pPr>
        <w:pStyle w:val="Titre1"/>
        <w:rPr>
          <w:rFonts w:asciiTheme="majorBidi" w:hAnsiTheme="majorBidi" w:cstheme="majorBidi"/>
          <w:sz w:val="28"/>
          <w:szCs w:val="28"/>
        </w:rPr>
      </w:pPr>
      <w:r w:rsidRPr="00711B8E">
        <w:rPr>
          <w:rFonts w:asciiTheme="majorBidi" w:hAnsiTheme="majorBidi" w:cstheme="majorBidi"/>
          <w:sz w:val="28"/>
          <w:szCs w:val="28"/>
        </w:rPr>
        <w:t xml:space="preserve">Paramécie </w:t>
      </w:r>
    </w:p>
    <w:p w:rsidR="008A50E4" w:rsidRPr="00711B8E" w:rsidRDefault="008A50E4" w:rsidP="008A50E4">
      <w:pPr>
        <w:rPr>
          <w:rFonts w:asciiTheme="majorBidi" w:hAnsiTheme="majorBidi" w:cstheme="majorBidi"/>
          <w:sz w:val="24"/>
          <w:szCs w:val="24"/>
        </w:rPr>
      </w:pPr>
      <w:r w:rsidRPr="00711B8E">
        <w:rPr>
          <w:rStyle w:val="definition"/>
          <w:rFonts w:asciiTheme="majorBidi" w:hAnsiTheme="majorBidi" w:cstheme="majorBidi"/>
          <w:sz w:val="24"/>
          <w:szCs w:val="24"/>
        </w:rPr>
        <w:t>Unicellulaire de forme ovoïde vivant généralement en eau douce, couvert de cils lui permettant de se déplacer et de se nourrir, essentiellement de bactéries.</w:t>
      </w:r>
      <w:r w:rsidRPr="00711B8E">
        <w:rPr>
          <w:rFonts w:asciiTheme="majorBidi" w:hAnsiTheme="majorBidi" w:cstheme="majorBidi"/>
          <w:sz w:val="24"/>
          <w:szCs w:val="24"/>
        </w:rPr>
        <w:t xml:space="preserve"> </w:t>
      </w:r>
    </w:p>
    <w:p w:rsidR="008A50E4" w:rsidRPr="00711B8E" w:rsidRDefault="00875AA0" w:rsidP="008A50E4">
      <w:pPr>
        <w:rPr>
          <w:rStyle w:val="Lienhypertexte"/>
          <w:rFonts w:asciiTheme="majorBidi" w:hAnsiTheme="majorBidi" w:cstheme="majorBidi"/>
          <w:sz w:val="24"/>
          <w:szCs w:val="24"/>
        </w:rPr>
      </w:pPr>
      <w:r w:rsidRPr="00711B8E">
        <w:rPr>
          <w:rFonts w:asciiTheme="majorBidi" w:hAnsiTheme="majorBidi" w:cstheme="majorBidi"/>
          <w:sz w:val="24"/>
          <w:szCs w:val="24"/>
        </w:rPr>
        <w:fldChar w:fldCharType="begin"/>
      </w:r>
      <w:r w:rsidR="008A50E4" w:rsidRPr="00711B8E">
        <w:rPr>
          <w:rFonts w:asciiTheme="majorBidi" w:hAnsiTheme="majorBidi" w:cstheme="majorBidi"/>
          <w:sz w:val="24"/>
          <w:szCs w:val="24"/>
        </w:rPr>
        <w:instrText xml:space="preserve"> HYPERLINK "http://www.ikonet.com/fr/ledictionnairevisuel/regne-animal/organismes-simples-et-echinodermes/eponge.php" \o "éponge" </w:instrText>
      </w:r>
      <w:r w:rsidRPr="00711B8E">
        <w:rPr>
          <w:rFonts w:asciiTheme="majorBidi" w:hAnsiTheme="majorBidi" w:cstheme="majorBidi"/>
          <w:sz w:val="24"/>
          <w:szCs w:val="24"/>
        </w:rPr>
        <w:fldChar w:fldCharType="separate"/>
      </w:r>
    </w:p>
    <w:p w:rsidR="008A50E4" w:rsidRDefault="00875AA0" w:rsidP="008A50E4">
      <w:pPr>
        <w:rPr>
          <w:rStyle w:val="Lienhypertexte"/>
        </w:rPr>
      </w:pPr>
      <w:r w:rsidRPr="00711B8E">
        <w:rPr>
          <w:rFonts w:asciiTheme="majorBidi" w:hAnsiTheme="majorBidi" w:cstheme="majorBidi"/>
          <w:sz w:val="24"/>
          <w:szCs w:val="24"/>
        </w:rPr>
        <w:fldChar w:fldCharType="end"/>
      </w:r>
      <w:r>
        <w:fldChar w:fldCharType="begin"/>
      </w:r>
      <w:r w:rsidR="008A50E4">
        <w:instrText xml:space="preserve"> HYPERLINK "http://www.ikonet.com/fr/ledictionnairevisuel/regne-animal/organismes-simples-et-echinodermes/unicellulaires/amibe.php" \o "amibe" </w:instrText>
      </w:r>
      <w:r>
        <w:fldChar w:fldCharType="separate"/>
      </w:r>
    </w:p>
    <w:p w:rsidR="008A50E4" w:rsidRDefault="00875AA0" w:rsidP="008A50E4">
      <w:r>
        <w:fldChar w:fldCharType="end"/>
      </w:r>
      <w:r w:rsidR="008A50E4">
        <w:rPr>
          <w:noProof/>
          <w:lang w:eastAsia="fr-FR"/>
        </w:rPr>
        <w:drawing>
          <wp:inline distT="0" distB="0" distL="0" distR="0">
            <wp:extent cx="7617460" cy="5017135"/>
            <wp:effectExtent l="19050" t="0" r="2540" b="0"/>
            <wp:docPr id="4" name="Image 2" descr="paraméci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ramécie image"/>
                    <pic:cNvPicPr>
                      <a:picLocks noChangeAspect="1" noChangeArrowheads="1"/>
                    </pic:cNvPicPr>
                  </pic:nvPicPr>
                  <pic:blipFill>
                    <a:blip r:embed="rId42"/>
                    <a:srcRect/>
                    <a:stretch>
                      <a:fillRect/>
                    </a:stretch>
                  </pic:blipFill>
                  <pic:spPr bwMode="auto">
                    <a:xfrm>
                      <a:off x="0" y="0"/>
                      <a:ext cx="7617460" cy="5017135"/>
                    </a:xfrm>
                    <a:prstGeom prst="rect">
                      <a:avLst/>
                    </a:prstGeom>
                    <a:noFill/>
                    <a:ln w="9525">
                      <a:noFill/>
                      <a:miter lim="800000"/>
                      <a:headEnd/>
                      <a:tailEnd/>
                    </a:ln>
                  </pic:spPr>
                </pic:pic>
              </a:graphicData>
            </a:graphic>
          </wp:inline>
        </w:drawing>
      </w:r>
    </w:p>
    <w:p w:rsidR="008A50E4" w:rsidRDefault="008A50E4" w:rsidP="008A50E4">
      <w:pPr>
        <w:spacing w:before="100" w:beforeAutospacing="1" w:after="100" w:afterAutospacing="1" w:line="240" w:lineRule="auto"/>
        <w:rPr>
          <w:rFonts w:ascii="Times New Roman" w:eastAsia="Times New Roman" w:hAnsi="Times New Roman" w:cs="Times New Roman"/>
          <w:b/>
          <w:bCs/>
          <w:sz w:val="28"/>
          <w:szCs w:val="28"/>
          <w:lang w:eastAsia="fr-FR"/>
        </w:rPr>
      </w:pPr>
    </w:p>
    <w:p w:rsidR="008A50E4" w:rsidRDefault="008A50E4" w:rsidP="008A50E4">
      <w:pPr>
        <w:spacing w:before="100" w:beforeAutospacing="1" w:after="100" w:afterAutospacing="1" w:line="240" w:lineRule="auto"/>
        <w:rPr>
          <w:rFonts w:ascii="Times New Roman" w:eastAsia="Times New Roman" w:hAnsi="Times New Roman" w:cs="Times New Roman"/>
          <w:b/>
          <w:bCs/>
          <w:sz w:val="28"/>
          <w:szCs w:val="28"/>
          <w:lang w:eastAsia="fr-FR"/>
        </w:rPr>
      </w:pPr>
    </w:p>
    <w:p w:rsidR="008A50E4" w:rsidRDefault="008A50E4" w:rsidP="008A50E4">
      <w:pPr>
        <w:spacing w:before="100" w:beforeAutospacing="1" w:after="100" w:afterAutospacing="1" w:line="240" w:lineRule="auto"/>
        <w:rPr>
          <w:rFonts w:ascii="Times New Roman" w:eastAsia="Times New Roman" w:hAnsi="Times New Roman" w:cs="Times New Roman"/>
          <w:b/>
          <w:bCs/>
          <w:sz w:val="28"/>
          <w:szCs w:val="28"/>
          <w:lang w:eastAsia="fr-FR"/>
        </w:rPr>
      </w:pPr>
    </w:p>
    <w:p w:rsidR="008A50E4" w:rsidRDefault="008A50E4" w:rsidP="008A50E4">
      <w:pPr>
        <w:spacing w:before="100" w:beforeAutospacing="1" w:after="100" w:afterAutospacing="1" w:line="240" w:lineRule="auto"/>
        <w:rPr>
          <w:rFonts w:ascii="Times New Roman" w:eastAsia="Times New Roman" w:hAnsi="Times New Roman" w:cs="Times New Roman"/>
          <w:b/>
          <w:bCs/>
          <w:sz w:val="28"/>
          <w:szCs w:val="28"/>
          <w:lang w:eastAsia="fr-FR"/>
        </w:rPr>
      </w:pPr>
    </w:p>
    <w:p w:rsidR="008A50E4" w:rsidRPr="00003FE8" w:rsidRDefault="008A50E4" w:rsidP="008A50E4">
      <w:pPr>
        <w:pStyle w:val="Titre4"/>
        <w:rPr>
          <w:rFonts w:asciiTheme="majorBidi" w:hAnsiTheme="majorBidi"/>
          <w:i w:val="0"/>
          <w:iCs w:val="0"/>
          <w:color w:val="auto"/>
          <w:sz w:val="24"/>
          <w:szCs w:val="24"/>
        </w:rPr>
      </w:pPr>
      <w:r w:rsidRPr="00003FE8">
        <w:rPr>
          <w:rFonts w:asciiTheme="majorBidi" w:hAnsiTheme="majorBidi"/>
          <w:i w:val="0"/>
          <w:iCs w:val="0"/>
          <w:color w:val="auto"/>
          <w:sz w:val="24"/>
          <w:szCs w:val="24"/>
        </w:rPr>
        <w:lastRenderedPageBreak/>
        <w:t xml:space="preserve">Membrane plasmique </w:t>
      </w:r>
    </w:p>
    <w:p w:rsidR="008A50E4" w:rsidRPr="00762798" w:rsidRDefault="008A50E4" w:rsidP="008A50E4">
      <w:pPr>
        <w:rPr>
          <w:rFonts w:asciiTheme="majorBidi" w:hAnsiTheme="majorBidi" w:cstheme="majorBidi"/>
          <w:sz w:val="24"/>
          <w:szCs w:val="24"/>
        </w:rPr>
      </w:pPr>
      <w:r w:rsidRPr="00762798">
        <w:rPr>
          <w:rStyle w:val="definition"/>
          <w:rFonts w:asciiTheme="majorBidi" w:hAnsiTheme="majorBidi" w:cstheme="majorBidi"/>
          <w:sz w:val="24"/>
          <w:szCs w:val="24"/>
        </w:rPr>
        <w:t>Enveloppe externe souple de la cellule, qui la sépare du milieu ambiant et qui, agissant comme un filtre, contrôle l’entrée et la sortie de certaines substances.</w:t>
      </w:r>
    </w:p>
    <w:p w:rsidR="008A50E4" w:rsidRPr="00BC1891" w:rsidRDefault="008A50E4" w:rsidP="008A50E4">
      <w:pPr>
        <w:pStyle w:val="Titre4"/>
        <w:rPr>
          <w:rFonts w:asciiTheme="majorBidi" w:hAnsiTheme="majorBidi"/>
          <w:i w:val="0"/>
          <w:iCs w:val="0"/>
          <w:color w:val="auto"/>
          <w:sz w:val="24"/>
          <w:szCs w:val="24"/>
        </w:rPr>
      </w:pPr>
      <w:r w:rsidRPr="00BC1891">
        <w:rPr>
          <w:rFonts w:asciiTheme="majorBidi" w:hAnsiTheme="majorBidi"/>
          <w:i w:val="0"/>
          <w:iCs w:val="0"/>
          <w:color w:val="auto"/>
          <w:sz w:val="24"/>
          <w:szCs w:val="24"/>
        </w:rPr>
        <w:t xml:space="preserve">Péristome </w:t>
      </w:r>
    </w:p>
    <w:p w:rsidR="008A50E4" w:rsidRPr="00762798" w:rsidRDefault="008A50E4" w:rsidP="008A50E4">
      <w:pPr>
        <w:rPr>
          <w:rFonts w:asciiTheme="majorBidi" w:hAnsiTheme="majorBidi" w:cstheme="majorBidi"/>
          <w:sz w:val="24"/>
          <w:szCs w:val="24"/>
        </w:rPr>
      </w:pPr>
      <w:r w:rsidRPr="00762798">
        <w:rPr>
          <w:rStyle w:val="definition"/>
          <w:rFonts w:asciiTheme="majorBidi" w:hAnsiTheme="majorBidi" w:cstheme="majorBidi"/>
          <w:sz w:val="24"/>
          <w:szCs w:val="24"/>
        </w:rPr>
        <w:t xml:space="preserve">Dépression pourvue de cils dont les battements dirigent les particules alimentaires vers le </w:t>
      </w:r>
      <w:proofErr w:type="spellStart"/>
      <w:r w:rsidRPr="00762798">
        <w:rPr>
          <w:rStyle w:val="definition"/>
          <w:rFonts w:asciiTheme="majorBidi" w:hAnsiTheme="majorBidi" w:cstheme="majorBidi"/>
          <w:sz w:val="24"/>
          <w:szCs w:val="24"/>
        </w:rPr>
        <w:t>cytostome</w:t>
      </w:r>
      <w:proofErr w:type="spellEnd"/>
      <w:r w:rsidRPr="00762798">
        <w:rPr>
          <w:rStyle w:val="definition"/>
          <w:rFonts w:asciiTheme="majorBidi" w:hAnsiTheme="majorBidi" w:cstheme="majorBidi"/>
          <w:sz w:val="24"/>
          <w:szCs w:val="24"/>
        </w:rPr>
        <w:t>.</w:t>
      </w:r>
    </w:p>
    <w:p w:rsidR="008A50E4" w:rsidRPr="002163A3" w:rsidRDefault="008A50E4" w:rsidP="008A50E4">
      <w:pPr>
        <w:pStyle w:val="Titre4"/>
        <w:rPr>
          <w:rFonts w:asciiTheme="majorBidi" w:hAnsiTheme="majorBidi"/>
          <w:sz w:val="24"/>
          <w:szCs w:val="24"/>
        </w:rPr>
      </w:pPr>
      <w:proofErr w:type="spellStart"/>
      <w:r>
        <w:rPr>
          <w:rFonts w:asciiTheme="majorBidi" w:hAnsiTheme="majorBidi"/>
          <w:i w:val="0"/>
          <w:iCs w:val="0"/>
          <w:color w:val="auto"/>
          <w:sz w:val="24"/>
          <w:szCs w:val="24"/>
        </w:rPr>
        <w:t>C</w:t>
      </w:r>
      <w:r w:rsidRPr="002163A3">
        <w:rPr>
          <w:rFonts w:asciiTheme="majorBidi" w:hAnsiTheme="majorBidi"/>
          <w:i w:val="0"/>
          <w:iCs w:val="0"/>
          <w:color w:val="auto"/>
          <w:sz w:val="24"/>
          <w:szCs w:val="24"/>
        </w:rPr>
        <w:t>ytostome</w:t>
      </w:r>
      <w:proofErr w:type="spellEnd"/>
      <w:r w:rsidRPr="002163A3">
        <w:rPr>
          <w:rFonts w:asciiTheme="majorBidi" w:hAnsiTheme="majorBidi"/>
          <w:sz w:val="24"/>
          <w:szCs w:val="24"/>
        </w:rPr>
        <w:t xml:space="preserve"> </w:t>
      </w:r>
    </w:p>
    <w:p w:rsidR="008A50E4" w:rsidRPr="00762798" w:rsidRDefault="008A50E4" w:rsidP="008A50E4">
      <w:pPr>
        <w:rPr>
          <w:rFonts w:asciiTheme="majorBidi" w:hAnsiTheme="majorBidi" w:cstheme="majorBidi"/>
          <w:sz w:val="24"/>
          <w:szCs w:val="24"/>
        </w:rPr>
      </w:pPr>
      <w:r w:rsidRPr="00762798">
        <w:rPr>
          <w:rStyle w:val="definition"/>
          <w:rFonts w:asciiTheme="majorBidi" w:hAnsiTheme="majorBidi" w:cstheme="majorBidi"/>
          <w:sz w:val="24"/>
          <w:szCs w:val="24"/>
        </w:rPr>
        <w:t>Orifice correspondant à la bouche, permettant l’ingestion des aliments et le rejet d’éléments indésirables.</w:t>
      </w:r>
    </w:p>
    <w:p w:rsidR="008A50E4" w:rsidRPr="00C011BD" w:rsidRDefault="008A50E4" w:rsidP="008A50E4">
      <w:pPr>
        <w:pStyle w:val="Titre4"/>
        <w:rPr>
          <w:rFonts w:asciiTheme="majorBidi" w:hAnsiTheme="majorBidi"/>
          <w:i w:val="0"/>
          <w:iCs w:val="0"/>
          <w:color w:val="auto"/>
          <w:sz w:val="24"/>
          <w:szCs w:val="24"/>
        </w:rPr>
      </w:pPr>
      <w:proofErr w:type="spellStart"/>
      <w:r w:rsidRPr="00C011BD">
        <w:rPr>
          <w:rFonts w:asciiTheme="majorBidi" w:hAnsiTheme="majorBidi"/>
          <w:i w:val="0"/>
          <w:iCs w:val="0"/>
          <w:color w:val="auto"/>
          <w:sz w:val="24"/>
          <w:szCs w:val="24"/>
        </w:rPr>
        <w:t>Cytopharynx</w:t>
      </w:r>
      <w:proofErr w:type="spellEnd"/>
      <w:r w:rsidRPr="00C011BD">
        <w:rPr>
          <w:rFonts w:asciiTheme="majorBidi" w:hAnsiTheme="majorBidi"/>
          <w:i w:val="0"/>
          <w:iCs w:val="0"/>
          <w:color w:val="auto"/>
          <w:sz w:val="24"/>
          <w:szCs w:val="24"/>
        </w:rPr>
        <w:t xml:space="preserve"> </w:t>
      </w:r>
    </w:p>
    <w:p w:rsidR="008A50E4" w:rsidRPr="00762798" w:rsidRDefault="008A50E4" w:rsidP="008A50E4">
      <w:pPr>
        <w:rPr>
          <w:rFonts w:asciiTheme="majorBidi" w:hAnsiTheme="majorBidi" w:cstheme="majorBidi"/>
          <w:sz w:val="24"/>
          <w:szCs w:val="24"/>
        </w:rPr>
      </w:pPr>
      <w:r w:rsidRPr="00762798">
        <w:rPr>
          <w:rStyle w:val="definition"/>
          <w:rFonts w:asciiTheme="majorBidi" w:hAnsiTheme="majorBidi" w:cstheme="majorBidi"/>
          <w:sz w:val="24"/>
          <w:szCs w:val="24"/>
        </w:rPr>
        <w:t xml:space="preserve">Repli de la membrane plasmique vers lequel sont dirigées les particules alimentaires provenant du </w:t>
      </w:r>
      <w:proofErr w:type="spellStart"/>
      <w:r w:rsidRPr="00762798">
        <w:rPr>
          <w:rStyle w:val="definition"/>
          <w:rFonts w:asciiTheme="majorBidi" w:hAnsiTheme="majorBidi" w:cstheme="majorBidi"/>
          <w:sz w:val="24"/>
          <w:szCs w:val="24"/>
        </w:rPr>
        <w:t>cytostome</w:t>
      </w:r>
      <w:proofErr w:type="spellEnd"/>
      <w:r w:rsidRPr="00762798">
        <w:rPr>
          <w:rStyle w:val="definition"/>
          <w:rFonts w:asciiTheme="majorBidi" w:hAnsiTheme="majorBidi" w:cstheme="majorBidi"/>
          <w:sz w:val="24"/>
          <w:szCs w:val="24"/>
        </w:rPr>
        <w:t>.</w:t>
      </w:r>
    </w:p>
    <w:p w:rsidR="008A50E4" w:rsidRPr="00E8614F" w:rsidRDefault="008A50E4" w:rsidP="008A50E4">
      <w:pPr>
        <w:pStyle w:val="Titre4"/>
        <w:rPr>
          <w:rFonts w:asciiTheme="majorBidi" w:hAnsiTheme="majorBidi"/>
          <w:i w:val="0"/>
          <w:iCs w:val="0"/>
          <w:color w:val="auto"/>
          <w:sz w:val="24"/>
          <w:szCs w:val="24"/>
        </w:rPr>
      </w:pPr>
      <w:r w:rsidRPr="00E8614F">
        <w:rPr>
          <w:rFonts w:asciiTheme="majorBidi" w:hAnsiTheme="majorBidi"/>
          <w:i w:val="0"/>
          <w:iCs w:val="0"/>
          <w:color w:val="auto"/>
          <w:sz w:val="24"/>
          <w:szCs w:val="24"/>
        </w:rPr>
        <w:t xml:space="preserve">Vacuole digestive en formation </w:t>
      </w:r>
    </w:p>
    <w:p w:rsidR="008A50E4" w:rsidRPr="00762798" w:rsidRDefault="008A50E4" w:rsidP="008A50E4">
      <w:pPr>
        <w:rPr>
          <w:rFonts w:asciiTheme="majorBidi" w:hAnsiTheme="majorBidi" w:cstheme="majorBidi"/>
          <w:sz w:val="24"/>
          <w:szCs w:val="24"/>
        </w:rPr>
      </w:pPr>
      <w:r w:rsidRPr="00762798">
        <w:rPr>
          <w:rStyle w:val="definition"/>
          <w:rFonts w:asciiTheme="majorBidi" w:hAnsiTheme="majorBidi" w:cstheme="majorBidi"/>
          <w:sz w:val="24"/>
          <w:szCs w:val="24"/>
        </w:rPr>
        <w:t xml:space="preserve">La paramécie produit continuellement des vacuoles digestives à partir de la membrane cytoplasmique. Chaque vacuole digestive emprisonne des particules alimentaires accumulées au fond du </w:t>
      </w:r>
      <w:proofErr w:type="spellStart"/>
      <w:r w:rsidRPr="00762798">
        <w:rPr>
          <w:rStyle w:val="definition"/>
          <w:rFonts w:asciiTheme="majorBidi" w:hAnsiTheme="majorBidi" w:cstheme="majorBidi"/>
          <w:sz w:val="24"/>
          <w:szCs w:val="24"/>
        </w:rPr>
        <w:t>cytopharynx</w:t>
      </w:r>
      <w:proofErr w:type="spellEnd"/>
      <w:r w:rsidRPr="00762798">
        <w:rPr>
          <w:rStyle w:val="definition"/>
          <w:rFonts w:asciiTheme="majorBidi" w:hAnsiTheme="majorBidi" w:cstheme="majorBidi"/>
          <w:sz w:val="24"/>
          <w:szCs w:val="24"/>
        </w:rPr>
        <w:t>.</w:t>
      </w:r>
    </w:p>
    <w:p w:rsidR="008A50E4" w:rsidRPr="00505E05" w:rsidRDefault="008A50E4" w:rsidP="008A50E4">
      <w:pPr>
        <w:pStyle w:val="Titre4"/>
        <w:rPr>
          <w:rFonts w:asciiTheme="majorBidi" w:hAnsiTheme="majorBidi"/>
          <w:i w:val="0"/>
          <w:iCs w:val="0"/>
          <w:color w:val="auto"/>
          <w:sz w:val="24"/>
          <w:szCs w:val="24"/>
        </w:rPr>
      </w:pPr>
      <w:proofErr w:type="spellStart"/>
      <w:r>
        <w:rPr>
          <w:rFonts w:asciiTheme="majorBidi" w:hAnsiTheme="majorBidi"/>
          <w:i w:val="0"/>
          <w:iCs w:val="0"/>
          <w:color w:val="auto"/>
          <w:sz w:val="24"/>
          <w:szCs w:val="24"/>
        </w:rPr>
        <w:t>C</w:t>
      </w:r>
      <w:r w:rsidRPr="00505E05">
        <w:rPr>
          <w:rFonts w:asciiTheme="majorBidi" w:hAnsiTheme="majorBidi"/>
          <w:i w:val="0"/>
          <w:iCs w:val="0"/>
          <w:color w:val="auto"/>
          <w:sz w:val="24"/>
          <w:szCs w:val="24"/>
        </w:rPr>
        <w:t>ytoprocte</w:t>
      </w:r>
      <w:proofErr w:type="spellEnd"/>
      <w:r w:rsidRPr="00505E05">
        <w:rPr>
          <w:rFonts w:asciiTheme="majorBidi" w:hAnsiTheme="majorBidi"/>
          <w:i w:val="0"/>
          <w:iCs w:val="0"/>
          <w:color w:val="auto"/>
          <w:sz w:val="24"/>
          <w:szCs w:val="24"/>
        </w:rPr>
        <w:t xml:space="preserve"> </w:t>
      </w:r>
    </w:p>
    <w:p w:rsidR="008A50E4" w:rsidRPr="00762798" w:rsidRDefault="008A50E4" w:rsidP="008A50E4">
      <w:pPr>
        <w:rPr>
          <w:rFonts w:asciiTheme="majorBidi" w:hAnsiTheme="majorBidi" w:cstheme="majorBidi"/>
          <w:sz w:val="24"/>
          <w:szCs w:val="24"/>
        </w:rPr>
      </w:pPr>
      <w:r w:rsidRPr="00762798">
        <w:rPr>
          <w:rStyle w:val="definition"/>
          <w:rFonts w:asciiTheme="majorBidi" w:hAnsiTheme="majorBidi" w:cstheme="majorBidi"/>
          <w:sz w:val="24"/>
          <w:szCs w:val="24"/>
        </w:rPr>
        <w:t>Orifice correspondant à l’anus dans lequel s’ouvre la vacuole digestive, permettant d’éliminer les déchets.</w:t>
      </w:r>
    </w:p>
    <w:p w:rsidR="008A50E4" w:rsidRPr="00C41559" w:rsidRDefault="008A50E4" w:rsidP="008A50E4">
      <w:pPr>
        <w:pStyle w:val="Titre4"/>
        <w:rPr>
          <w:rFonts w:asciiTheme="majorBidi" w:hAnsiTheme="majorBidi"/>
          <w:i w:val="0"/>
          <w:iCs w:val="0"/>
          <w:color w:val="auto"/>
          <w:sz w:val="24"/>
          <w:szCs w:val="24"/>
        </w:rPr>
      </w:pPr>
      <w:r w:rsidRPr="00C41559">
        <w:rPr>
          <w:rFonts w:asciiTheme="majorBidi" w:hAnsiTheme="majorBidi"/>
          <w:i w:val="0"/>
          <w:iCs w:val="0"/>
          <w:color w:val="auto"/>
          <w:sz w:val="24"/>
          <w:szCs w:val="24"/>
        </w:rPr>
        <w:t xml:space="preserve">Vacuole contractile </w:t>
      </w:r>
    </w:p>
    <w:p w:rsidR="008A50E4" w:rsidRPr="00762798" w:rsidRDefault="008A50E4" w:rsidP="008A50E4">
      <w:pPr>
        <w:rPr>
          <w:rFonts w:asciiTheme="majorBidi" w:hAnsiTheme="majorBidi" w:cstheme="majorBidi"/>
          <w:sz w:val="24"/>
          <w:szCs w:val="24"/>
        </w:rPr>
      </w:pPr>
      <w:r w:rsidRPr="00762798">
        <w:rPr>
          <w:rStyle w:val="definition"/>
          <w:rFonts w:asciiTheme="majorBidi" w:hAnsiTheme="majorBidi" w:cstheme="majorBidi"/>
          <w:sz w:val="24"/>
          <w:szCs w:val="24"/>
        </w:rPr>
        <w:t>Cavité sphérique agissant comme une pompe pour évacuer l’excès d’eau et les déchets de la cellule.</w:t>
      </w:r>
    </w:p>
    <w:p w:rsidR="008A50E4" w:rsidRPr="00C41559" w:rsidRDefault="008A50E4" w:rsidP="008A50E4">
      <w:pPr>
        <w:pStyle w:val="Titre4"/>
        <w:rPr>
          <w:rFonts w:asciiTheme="majorBidi" w:hAnsiTheme="majorBidi"/>
          <w:i w:val="0"/>
          <w:iCs w:val="0"/>
          <w:color w:val="auto"/>
          <w:sz w:val="24"/>
          <w:szCs w:val="24"/>
        </w:rPr>
      </w:pPr>
      <w:r w:rsidRPr="00C41559">
        <w:rPr>
          <w:rFonts w:asciiTheme="majorBidi" w:hAnsiTheme="majorBidi"/>
          <w:i w:val="0"/>
          <w:iCs w:val="0"/>
          <w:color w:val="auto"/>
          <w:sz w:val="24"/>
          <w:szCs w:val="24"/>
        </w:rPr>
        <w:t xml:space="preserve">Cytoplasme </w:t>
      </w:r>
    </w:p>
    <w:p w:rsidR="008A50E4" w:rsidRPr="00762798" w:rsidRDefault="008A50E4" w:rsidP="008A50E4">
      <w:pPr>
        <w:rPr>
          <w:rFonts w:asciiTheme="majorBidi" w:hAnsiTheme="majorBidi" w:cstheme="majorBidi"/>
          <w:sz w:val="24"/>
          <w:szCs w:val="24"/>
        </w:rPr>
      </w:pPr>
      <w:r w:rsidRPr="00762798">
        <w:rPr>
          <w:rStyle w:val="definition"/>
          <w:rFonts w:asciiTheme="majorBidi" w:hAnsiTheme="majorBidi" w:cstheme="majorBidi"/>
          <w:sz w:val="24"/>
          <w:szCs w:val="24"/>
        </w:rPr>
        <w:t>Substance claire et gélatineuse dans laquelle baignent les différentes structures cellulaires.</w:t>
      </w:r>
    </w:p>
    <w:p w:rsidR="008A50E4" w:rsidRPr="00C41559" w:rsidRDefault="008A50E4" w:rsidP="008A50E4">
      <w:pPr>
        <w:pStyle w:val="Titre4"/>
        <w:rPr>
          <w:rFonts w:asciiTheme="majorBidi" w:hAnsiTheme="majorBidi"/>
          <w:i w:val="0"/>
          <w:iCs w:val="0"/>
          <w:color w:val="auto"/>
          <w:sz w:val="24"/>
          <w:szCs w:val="24"/>
        </w:rPr>
      </w:pPr>
      <w:proofErr w:type="spellStart"/>
      <w:r w:rsidRPr="00C41559">
        <w:rPr>
          <w:rFonts w:asciiTheme="majorBidi" w:hAnsiTheme="majorBidi"/>
          <w:i w:val="0"/>
          <w:iCs w:val="0"/>
          <w:color w:val="auto"/>
          <w:sz w:val="24"/>
          <w:szCs w:val="24"/>
        </w:rPr>
        <w:t>Macronucleus</w:t>
      </w:r>
      <w:proofErr w:type="spellEnd"/>
      <w:r w:rsidRPr="00C41559">
        <w:rPr>
          <w:rFonts w:asciiTheme="majorBidi" w:hAnsiTheme="majorBidi"/>
          <w:i w:val="0"/>
          <w:iCs w:val="0"/>
          <w:color w:val="auto"/>
          <w:sz w:val="24"/>
          <w:szCs w:val="24"/>
        </w:rPr>
        <w:t xml:space="preserve"> </w:t>
      </w:r>
    </w:p>
    <w:p w:rsidR="008A50E4" w:rsidRPr="00762798" w:rsidRDefault="008A50E4" w:rsidP="008A50E4">
      <w:pPr>
        <w:rPr>
          <w:rFonts w:asciiTheme="majorBidi" w:hAnsiTheme="majorBidi" w:cstheme="majorBidi"/>
          <w:sz w:val="24"/>
          <w:szCs w:val="24"/>
        </w:rPr>
      </w:pPr>
      <w:r w:rsidRPr="00762798">
        <w:rPr>
          <w:rStyle w:val="definition"/>
          <w:rFonts w:asciiTheme="majorBidi" w:hAnsiTheme="majorBidi" w:cstheme="majorBidi"/>
          <w:sz w:val="24"/>
          <w:szCs w:val="24"/>
        </w:rPr>
        <w:t>Gros noyau qui contrôle les activités cellulaires.</w:t>
      </w:r>
    </w:p>
    <w:p w:rsidR="008A50E4" w:rsidRPr="00C41559" w:rsidRDefault="008A50E4" w:rsidP="008A50E4">
      <w:pPr>
        <w:pStyle w:val="Titre4"/>
        <w:rPr>
          <w:rFonts w:asciiTheme="majorBidi" w:hAnsiTheme="majorBidi"/>
          <w:i w:val="0"/>
          <w:iCs w:val="0"/>
          <w:color w:val="auto"/>
          <w:sz w:val="24"/>
          <w:szCs w:val="24"/>
        </w:rPr>
      </w:pPr>
      <w:r w:rsidRPr="00C41559">
        <w:rPr>
          <w:rFonts w:asciiTheme="majorBidi" w:hAnsiTheme="majorBidi"/>
          <w:i w:val="0"/>
          <w:iCs w:val="0"/>
          <w:color w:val="auto"/>
          <w:sz w:val="24"/>
          <w:szCs w:val="24"/>
        </w:rPr>
        <w:t xml:space="preserve">Micronucleus </w:t>
      </w:r>
    </w:p>
    <w:p w:rsidR="008A50E4" w:rsidRPr="00762798" w:rsidRDefault="008A50E4" w:rsidP="008A50E4">
      <w:pPr>
        <w:rPr>
          <w:rFonts w:asciiTheme="majorBidi" w:hAnsiTheme="majorBidi" w:cstheme="majorBidi"/>
          <w:sz w:val="24"/>
          <w:szCs w:val="24"/>
        </w:rPr>
      </w:pPr>
      <w:r w:rsidRPr="00762798">
        <w:rPr>
          <w:rStyle w:val="definition"/>
          <w:rFonts w:asciiTheme="majorBidi" w:hAnsiTheme="majorBidi" w:cstheme="majorBidi"/>
          <w:sz w:val="24"/>
          <w:szCs w:val="24"/>
        </w:rPr>
        <w:t>Petit noyau qui assure la reproduction de la cellule.</w:t>
      </w:r>
    </w:p>
    <w:p w:rsidR="008A50E4" w:rsidRPr="00C41559" w:rsidRDefault="008A50E4" w:rsidP="008A50E4">
      <w:pPr>
        <w:pStyle w:val="Titre4"/>
        <w:rPr>
          <w:rFonts w:asciiTheme="majorBidi" w:hAnsiTheme="majorBidi"/>
          <w:i w:val="0"/>
          <w:iCs w:val="0"/>
          <w:color w:val="auto"/>
          <w:sz w:val="24"/>
          <w:szCs w:val="24"/>
        </w:rPr>
      </w:pPr>
      <w:r w:rsidRPr="00C41559">
        <w:rPr>
          <w:rFonts w:asciiTheme="majorBidi" w:hAnsiTheme="majorBidi"/>
          <w:i w:val="0"/>
          <w:iCs w:val="0"/>
          <w:color w:val="auto"/>
          <w:sz w:val="24"/>
          <w:szCs w:val="24"/>
        </w:rPr>
        <w:t xml:space="preserve">Vacuole digestive </w:t>
      </w:r>
    </w:p>
    <w:p w:rsidR="008A50E4" w:rsidRDefault="008A50E4" w:rsidP="008A50E4">
      <w:pPr>
        <w:rPr>
          <w:rFonts w:asciiTheme="majorBidi" w:hAnsiTheme="majorBidi" w:cstheme="majorBidi"/>
          <w:sz w:val="24"/>
          <w:szCs w:val="24"/>
        </w:rPr>
      </w:pPr>
      <w:r w:rsidRPr="00762798">
        <w:rPr>
          <w:rStyle w:val="definition"/>
          <w:rFonts w:asciiTheme="majorBidi" w:hAnsiTheme="majorBidi" w:cstheme="majorBidi"/>
          <w:sz w:val="24"/>
          <w:szCs w:val="24"/>
        </w:rPr>
        <w:t xml:space="preserve">Cavité sphérique dans laquelle les particules alimentaires provenant du </w:t>
      </w:r>
      <w:proofErr w:type="spellStart"/>
      <w:r w:rsidRPr="00762798">
        <w:rPr>
          <w:rStyle w:val="definition"/>
          <w:rFonts w:asciiTheme="majorBidi" w:hAnsiTheme="majorBidi" w:cstheme="majorBidi"/>
          <w:sz w:val="24"/>
          <w:szCs w:val="24"/>
        </w:rPr>
        <w:t>cytopharynx</w:t>
      </w:r>
      <w:proofErr w:type="spellEnd"/>
      <w:r w:rsidRPr="00762798">
        <w:rPr>
          <w:rStyle w:val="definition"/>
          <w:rFonts w:asciiTheme="majorBidi" w:hAnsiTheme="majorBidi" w:cstheme="majorBidi"/>
          <w:sz w:val="24"/>
          <w:szCs w:val="24"/>
        </w:rPr>
        <w:t xml:space="preserve"> sont digérées.</w:t>
      </w:r>
    </w:p>
    <w:p w:rsidR="008A50E4" w:rsidRDefault="008A50E4" w:rsidP="008A50E4">
      <w:pPr>
        <w:rPr>
          <w:rFonts w:asciiTheme="majorBidi" w:hAnsiTheme="majorBidi" w:cstheme="majorBidi"/>
          <w:sz w:val="24"/>
          <w:szCs w:val="24"/>
        </w:rPr>
      </w:pPr>
    </w:p>
    <w:p w:rsidR="008A50E4" w:rsidRDefault="008A50E4" w:rsidP="008A50E4">
      <w:pPr>
        <w:rPr>
          <w:rFonts w:asciiTheme="majorBidi" w:hAnsiTheme="majorBidi" w:cstheme="majorBidi"/>
          <w:sz w:val="24"/>
          <w:szCs w:val="24"/>
        </w:rPr>
      </w:pPr>
    </w:p>
    <w:p w:rsidR="008A50E4" w:rsidRDefault="008A50E4" w:rsidP="008A50E4">
      <w:pPr>
        <w:rPr>
          <w:rFonts w:asciiTheme="majorBidi" w:hAnsiTheme="majorBidi" w:cstheme="majorBidi"/>
          <w:sz w:val="24"/>
          <w:szCs w:val="24"/>
        </w:rPr>
      </w:pPr>
    </w:p>
    <w:p w:rsidR="00011F93" w:rsidRDefault="00011F93" w:rsidP="008A50E4">
      <w:pPr>
        <w:spacing w:before="100" w:beforeAutospacing="1" w:after="100" w:afterAutospacing="1" w:line="240" w:lineRule="auto"/>
        <w:outlineLvl w:val="0"/>
        <w:rPr>
          <w:rFonts w:ascii="Times New Roman" w:eastAsia="Times New Roman" w:hAnsi="Times New Roman" w:cs="Times New Roman"/>
          <w:b/>
          <w:bCs/>
          <w:kern w:val="36"/>
          <w:sz w:val="28"/>
          <w:szCs w:val="28"/>
          <w:lang w:eastAsia="fr-FR"/>
        </w:rPr>
      </w:pPr>
    </w:p>
    <w:p w:rsidR="008A50E4" w:rsidRPr="006B3223" w:rsidRDefault="008A50E4" w:rsidP="008A50E4">
      <w:pPr>
        <w:spacing w:before="100" w:beforeAutospacing="1" w:after="100" w:afterAutospacing="1" w:line="240" w:lineRule="auto"/>
        <w:outlineLvl w:val="0"/>
        <w:rPr>
          <w:rFonts w:ascii="Times New Roman" w:eastAsia="Times New Roman" w:hAnsi="Times New Roman" w:cs="Times New Roman"/>
          <w:b/>
          <w:bCs/>
          <w:kern w:val="36"/>
          <w:sz w:val="28"/>
          <w:szCs w:val="28"/>
          <w:lang w:eastAsia="fr-FR"/>
        </w:rPr>
      </w:pPr>
      <w:r w:rsidRPr="006B3223">
        <w:rPr>
          <w:rFonts w:ascii="Times New Roman" w:eastAsia="Times New Roman" w:hAnsi="Times New Roman" w:cs="Times New Roman"/>
          <w:b/>
          <w:bCs/>
          <w:kern w:val="36"/>
          <w:sz w:val="28"/>
          <w:szCs w:val="28"/>
          <w:lang w:eastAsia="fr-FR"/>
        </w:rPr>
        <w:lastRenderedPageBreak/>
        <w:t xml:space="preserve">Amibe </w:t>
      </w:r>
    </w:p>
    <w:p w:rsidR="008A50E4" w:rsidRDefault="008A50E4" w:rsidP="008A50E4">
      <w:pPr>
        <w:rPr>
          <w:rFonts w:asciiTheme="majorBidi" w:hAnsiTheme="majorBidi" w:cstheme="majorBidi"/>
          <w:sz w:val="24"/>
          <w:szCs w:val="24"/>
        </w:rPr>
      </w:pPr>
      <w:r w:rsidRPr="006B3223">
        <w:rPr>
          <w:rFonts w:ascii="Times New Roman" w:eastAsia="Times New Roman" w:hAnsi="Times New Roman" w:cs="Times New Roman"/>
          <w:sz w:val="24"/>
          <w:szCs w:val="24"/>
          <w:lang w:eastAsia="fr-FR"/>
        </w:rPr>
        <w:t>Unicellulaire à forme variable vivant dans les eaux douces ou salées, les sols humides, ou parfois comme parasite d’animaux. L’amibe se déplace et se nourrit à l’aide de pseudopodes</w:t>
      </w:r>
    </w:p>
    <w:p w:rsidR="008A50E4" w:rsidRDefault="008A50E4" w:rsidP="008A50E4">
      <w:pPr>
        <w:shd w:val="clear" w:color="auto" w:fill="F9F9F9"/>
        <w:spacing w:line="240" w:lineRule="auto"/>
        <w:rPr>
          <w:rFonts w:ascii="Times New Roman" w:eastAsia="Times New Roman" w:hAnsi="Times New Roman" w:cs="Times New Roman"/>
          <w:b/>
          <w:bCs/>
          <w:sz w:val="28"/>
          <w:szCs w:val="28"/>
          <w:lang w:eastAsia="fr-FR"/>
        </w:rPr>
      </w:pPr>
      <w:r>
        <w:rPr>
          <w:rFonts w:asciiTheme="majorBidi" w:hAnsiTheme="majorBidi" w:cstheme="majorBidi"/>
          <w:noProof/>
          <w:sz w:val="24"/>
          <w:szCs w:val="24"/>
          <w:lang w:eastAsia="fr-FR"/>
        </w:rPr>
        <w:drawing>
          <wp:inline distT="0" distB="0" distL="0" distR="0">
            <wp:extent cx="5760720" cy="3794219"/>
            <wp:effectExtent l="19050" t="0" r="0" b="0"/>
            <wp:docPr id="74" name="Imag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43"/>
                    <a:srcRect/>
                    <a:stretch>
                      <a:fillRect/>
                    </a:stretch>
                  </pic:blipFill>
                  <pic:spPr bwMode="auto">
                    <a:xfrm>
                      <a:off x="0" y="0"/>
                      <a:ext cx="5760720" cy="3794219"/>
                    </a:xfrm>
                    <a:prstGeom prst="rect">
                      <a:avLst/>
                    </a:prstGeom>
                    <a:noFill/>
                    <a:ln w="9525">
                      <a:noFill/>
                      <a:miter lim="800000"/>
                      <a:headEnd/>
                      <a:tailEnd/>
                    </a:ln>
                  </pic:spPr>
                </pic:pic>
              </a:graphicData>
            </a:graphic>
          </wp:inline>
        </w:drawing>
      </w:r>
    </w:p>
    <w:p w:rsidR="00690A9A" w:rsidRDefault="00690A9A" w:rsidP="008A50E4">
      <w:pPr>
        <w:shd w:val="clear" w:color="auto" w:fill="F9F9F9"/>
        <w:spacing w:line="240" w:lineRule="auto"/>
        <w:rPr>
          <w:rFonts w:ascii="Times New Roman" w:eastAsia="Times New Roman" w:hAnsi="Times New Roman" w:cs="Times New Roman"/>
          <w:b/>
          <w:bCs/>
          <w:sz w:val="28"/>
          <w:szCs w:val="28"/>
          <w:lang w:eastAsia="fr-FR"/>
        </w:rPr>
      </w:pPr>
    </w:p>
    <w:p w:rsidR="00690A9A" w:rsidRDefault="00690A9A" w:rsidP="008A50E4">
      <w:pPr>
        <w:shd w:val="clear" w:color="auto" w:fill="F9F9F9"/>
        <w:spacing w:line="240" w:lineRule="auto"/>
        <w:rPr>
          <w:rFonts w:ascii="Times New Roman" w:eastAsia="Times New Roman" w:hAnsi="Times New Roman" w:cs="Times New Roman"/>
          <w:b/>
          <w:bCs/>
          <w:sz w:val="28"/>
          <w:szCs w:val="28"/>
          <w:lang w:eastAsia="fr-FR"/>
        </w:rPr>
      </w:pPr>
      <w:r w:rsidRPr="00690A9A">
        <w:rPr>
          <w:rFonts w:ascii="Times New Roman" w:eastAsia="Times New Roman" w:hAnsi="Times New Roman" w:cs="Times New Roman"/>
          <w:b/>
          <w:bCs/>
          <w:noProof/>
          <w:sz w:val="28"/>
          <w:szCs w:val="28"/>
          <w:lang w:eastAsia="fr-FR"/>
        </w:rPr>
        <w:lastRenderedPageBreak/>
        <w:drawing>
          <wp:inline distT="0" distB="0" distL="0" distR="0">
            <wp:extent cx="5483893" cy="5308270"/>
            <wp:effectExtent l="19050" t="0" r="2507" b="0"/>
            <wp:docPr id="6" name="Image 1" descr="Ami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ibe"/>
                    <pic:cNvPicPr>
                      <a:picLocks noChangeAspect="1" noChangeArrowheads="1"/>
                    </pic:cNvPicPr>
                  </pic:nvPicPr>
                  <pic:blipFill>
                    <a:blip r:embed="rId44"/>
                    <a:srcRect/>
                    <a:stretch>
                      <a:fillRect/>
                    </a:stretch>
                  </pic:blipFill>
                  <pic:spPr bwMode="auto">
                    <a:xfrm>
                      <a:off x="0" y="0"/>
                      <a:ext cx="5484528" cy="5308885"/>
                    </a:xfrm>
                    <a:prstGeom prst="rect">
                      <a:avLst/>
                    </a:prstGeom>
                    <a:noFill/>
                    <a:ln w="9525">
                      <a:noFill/>
                      <a:miter lim="800000"/>
                      <a:headEnd/>
                      <a:tailEnd/>
                    </a:ln>
                  </pic:spPr>
                </pic:pic>
              </a:graphicData>
            </a:graphic>
          </wp:inline>
        </w:drawing>
      </w:r>
    </w:p>
    <w:p w:rsidR="008A50E4" w:rsidRPr="00A618ED" w:rsidRDefault="008A50E4" w:rsidP="008A50E4">
      <w:pPr>
        <w:pStyle w:val="Titre4"/>
        <w:rPr>
          <w:rFonts w:asciiTheme="majorBidi" w:hAnsiTheme="majorBidi"/>
          <w:i w:val="0"/>
          <w:iCs w:val="0"/>
          <w:color w:val="auto"/>
          <w:sz w:val="24"/>
          <w:szCs w:val="24"/>
        </w:rPr>
      </w:pPr>
      <w:r w:rsidRPr="00A618ED">
        <w:rPr>
          <w:rFonts w:asciiTheme="majorBidi" w:hAnsiTheme="majorBidi"/>
          <w:i w:val="0"/>
          <w:iCs w:val="0"/>
          <w:color w:val="auto"/>
          <w:sz w:val="24"/>
          <w:szCs w:val="24"/>
        </w:rPr>
        <w:t xml:space="preserve">Membrane plasmique </w:t>
      </w:r>
    </w:p>
    <w:p w:rsidR="008A50E4" w:rsidRPr="00A618ED" w:rsidRDefault="008A50E4" w:rsidP="008A50E4">
      <w:pPr>
        <w:rPr>
          <w:rFonts w:asciiTheme="majorBidi" w:hAnsiTheme="majorBidi" w:cstheme="majorBidi"/>
          <w:sz w:val="24"/>
          <w:szCs w:val="24"/>
        </w:rPr>
      </w:pPr>
      <w:r w:rsidRPr="00A618ED">
        <w:rPr>
          <w:rStyle w:val="definition"/>
          <w:rFonts w:asciiTheme="majorBidi" w:hAnsiTheme="majorBidi" w:cstheme="majorBidi"/>
          <w:sz w:val="24"/>
          <w:szCs w:val="24"/>
        </w:rPr>
        <w:t>Enveloppe externe souple de la cellule, qui la sépare du milieu ambiant et qui, agissant comme un filtre, contrôle l’entrée et la sortie de certaines substances.</w:t>
      </w:r>
    </w:p>
    <w:p w:rsidR="008A50E4" w:rsidRPr="00A618ED" w:rsidRDefault="008A50E4" w:rsidP="008A50E4">
      <w:pPr>
        <w:pStyle w:val="Titre4"/>
        <w:rPr>
          <w:rFonts w:asciiTheme="majorBidi" w:hAnsiTheme="majorBidi"/>
          <w:i w:val="0"/>
          <w:iCs w:val="0"/>
          <w:color w:val="auto"/>
          <w:sz w:val="24"/>
          <w:szCs w:val="24"/>
        </w:rPr>
      </w:pPr>
      <w:r w:rsidRPr="00A618ED">
        <w:rPr>
          <w:rFonts w:asciiTheme="majorBidi" w:hAnsiTheme="majorBidi"/>
          <w:i w:val="0"/>
          <w:iCs w:val="0"/>
          <w:color w:val="auto"/>
          <w:sz w:val="24"/>
          <w:szCs w:val="24"/>
        </w:rPr>
        <w:t xml:space="preserve">Pseudopode </w:t>
      </w:r>
    </w:p>
    <w:p w:rsidR="008A50E4" w:rsidRPr="00A618ED" w:rsidRDefault="008A50E4" w:rsidP="008A50E4">
      <w:pPr>
        <w:rPr>
          <w:rFonts w:asciiTheme="majorBidi" w:hAnsiTheme="majorBidi" w:cstheme="majorBidi"/>
          <w:sz w:val="24"/>
          <w:szCs w:val="24"/>
        </w:rPr>
      </w:pPr>
      <w:r w:rsidRPr="00A618ED">
        <w:rPr>
          <w:rStyle w:val="definition"/>
          <w:rFonts w:asciiTheme="majorBidi" w:hAnsiTheme="majorBidi" w:cstheme="majorBidi"/>
          <w:sz w:val="24"/>
          <w:szCs w:val="24"/>
        </w:rPr>
        <w:t>Extension de la membrane cytoplasmique et du cytoplasme permettant à l’amibe de se déplacer et de capturer ses proies.</w:t>
      </w:r>
    </w:p>
    <w:p w:rsidR="008A50E4" w:rsidRPr="00A618ED" w:rsidRDefault="008A50E4" w:rsidP="008A50E4">
      <w:pPr>
        <w:pStyle w:val="Titre4"/>
        <w:rPr>
          <w:rFonts w:asciiTheme="majorBidi" w:hAnsiTheme="majorBidi"/>
          <w:i w:val="0"/>
          <w:iCs w:val="0"/>
          <w:color w:val="auto"/>
          <w:sz w:val="24"/>
          <w:szCs w:val="24"/>
        </w:rPr>
      </w:pPr>
      <w:r w:rsidRPr="00A618ED">
        <w:rPr>
          <w:rFonts w:asciiTheme="majorBidi" w:hAnsiTheme="majorBidi"/>
          <w:i w:val="0"/>
          <w:iCs w:val="0"/>
          <w:color w:val="auto"/>
          <w:sz w:val="24"/>
          <w:szCs w:val="24"/>
        </w:rPr>
        <w:t xml:space="preserve">Vacuole contractile </w:t>
      </w:r>
    </w:p>
    <w:p w:rsidR="008A50E4" w:rsidRPr="00A618ED" w:rsidRDefault="008A50E4" w:rsidP="008A50E4">
      <w:pPr>
        <w:rPr>
          <w:rFonts w:asciiTheme="majorBidi" w:hAnsiTheme="majorBidi" w:cstheme="majorBidi"/>
          <w:sz w:val="24"/>
          <w:szCs w:val="24"/>
        </w:rPr>
      </w:pPr>
      <w:r w:rsidRPr="00A618ED">
        <w:rPr>
          <w:rStyle w:val="definition"/>
          <w:rFonts w:asciiTheme="majorBidi" w:hAnsiTheme="majorBidi" w:cstheme="majorBidi"/>
          <w:sz w:val="24"/>
          <w:szCs w:val="24"/>
        </w:rPr>
        <w:t>Cavité sphérique agissant comme une pompe pour évacuer l’excès d’eau et les déchets de la cellule.</w:t>
      </w:r>
    </w:p>
    <w:p w:rsidR="008A50E4" w:rsidRPr="00A618ED" w:rsidRDefault="008A50E4" w:rsidP="008A50E4">
      <w:pPr>
        <w:pStyle w:val="Titre4"/>
        <w:rPr>
          <w:rFonts w:asciiTheme="majorBidi" w:hAnsiTheme="majorBidi"/>
          <w:i w:val="0"/>
          <w:iCs w:val="0"/>
          <w:color w:val="auto"/>
          <w:sz w:val="24"/>
          <w:szCs w:val="24"/>
        </w:rPr>
      </w:pPr>
      <w:r w:rsidRPr="00A618ED">
        <w:rPr>
          <w:rFonts w:asciiTheme="majorBidi" w:hAnsiTheme="majorBidi"/>
          <w:i w:val="0"/>
          <w:iCs w:val="0"/>
          <w:color w:val="auto"/>
          <w:sz w:val="24"/>
          <w:szCs w:val="24"/>
        </w:rPr>
        <w:t xml:space="preserve">Noyau </w:t>
      </w:r>
    </w:p>
    <w:p w:rsidR="008A50E4" w:rsidRPr="00A618ED" w:rsidRDefault="008A50E4" w:rsidP="008A50E4">
      <w:pPr>
        <w:rPr>
          <w:rFonts w:asciiTheme="majorBidi" w:hAnsiTheme="majorBidi" w:cstheme="majorBidi"/>
          <w:sz w:val="24"/>
          <w:szCs w:val="24"/>
        </w:rPr>
      </w:pPr>
      <w:r w:rsidRPr="00A618ED">
        <w:rPr>
          <w:rStyle w:val="definition"/>
          <w:rFonts w:asciiTheme="majorBidi" w:hAnsiTheme="majorBidi" w:cstheme="majorBidi"/>
          <w:sz w:val="24"/>
          <w:szCs w:val="24"/>
        </w:rPr>
        <w:t>Organite qui contient les gènes et qui contrôle les activités cellulaires.</w:t>
      </w:r>
    </w:p>
    <w:p w:rsidR="008A50E4" w:rsidRPr="00A618ED" w:rsidRDefault="008A50E4" w:rsidP="008A50E4">
      <w:pPr>
        <w:pStyle w:val="Titre4"/>
        <w:rPr>
          <w:rFonts w:asciiTheme="majorBidi" w:hAnsiTheme="majorBidi"/>
          <w:i w:val="0"/>
          <w:iCs w:val="0"/>
          <w:color w:val="auto"/>
          <w:sz w:val="24"/>
          <w:szCs w:val="24"/>
        </w:rPr>
      </w:pPr>
      <w:r w:rsidRPr="00A618ED">
        <w:rPr>
          <w:rFonts w:asciiTheme="majorBidi" w:hAnsiTheme="majorBidi"/>
          <w:i w:val="0"/>
          <w:iCs w:val="0"/>
          <w:color w:val="auto"/>
          <w:sz w:val="24"/>
          <w:szCs w:val="24"/>
        </w:rPr>
        <w:t xml:space="preserve">Vacuole digestive </w:t>
      </w:r>
    </w:p>
    <w:p w:rsidR="008A50E4" w:rsidRPr="00A618ED" w:rsidRDefault="008A50E4" w:rsidP="008A50E4">
      <w:pPr>
        <w:rPr>
          <w:rFonts w:asciiTheme="majorBidi" w:hAnsiTheme="majorBidi" w:cstheme="majorBidi"/>
          <w:sz w:val="24"/>
          <w:szCs w:val="24"/>
        </w:rPr>
      </w:pPr>
      <w:r w:rsidRPr="00A618ED">
        <w:rPr>
          <w:rStyle w:val="definition"/>
          <w:rFonts w:asciiTheme="majorBidi" w:hAnsiTheme="majorBidi" w:cstheme="majorBidi"/>
          <w:sz w:val="24"/>
          <w:szCs w:val="24"/>
        </w:rPr>
        <w:t>Cavité sphérique dans laquelle l’amibe enferme sa proie pour pouvoir la digérer.</w:t>
      </w:r>
    </w:p>
    <w:p w:rsidR="008A50E4" w:rsidRDefault="008A50E4" w:rsidP="008A50E4">
      <w:pPr>
        <w:spacing w:before="100" w:beforeAutospacing="1" w:after="100" w:afterAutospacing="1" w:line="240" w:lineRule="auto"/>
        <w:rPr>
          <w:rFonts w:ascii="Times New Roman" w:eastAsia="Times New Roman" w:hAnsi="Times New Roman" w:cs="Times New Roman"/>
          <w:b/>
          <w:bCs/>
          <w:sz w:val="28"/>
          <w:szCs w:val="28"/>
          <w:lang w:eastAsia="fr-FR"/>
        </w:rPr>
      </w:pPr>
    </w:p>
    <w:p w:rsidR="00B929CC" w:rsidRDefault="00B929CC" w:rsidP="008A50E4">
      <w:pPr>
        <w:spacing w:before="100" w:beforeAutospacing="1" w:after="100" w:afterAutospacing="1" w:line="240" w:lineRule="auto"/>
        <w:rPr>
          <w:rFonts w:ascii="Times New Roman" w:eastAsia="Times New Roman" w:hAnsi="Times New Roman" w:cs="Times New Roman"/>
          <w:b/>
          <w:bCs/>
          <w:sz w:val="28"/>
          <w:szCs w:val="28"/>
          <w:lang w:eastAsia="fr-FR"/>
        </w:rPr>
      </w:pPr>
    </w:p>
    <w:sectPr w:rsidR="00B929CC" w:rsidSect="00ED20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D185B"/>
    <w:multiLevelType w:val="multilevel"/>
    <w:tmpl w:val="27983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7D1AEA"/>
    <w:multiLevelType w:val="multilevel"/>
    <w:tmpl w:val="54525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74738E"/>
    <w:multiLevelType w:val="multilevel"/>
    <w:tmpl w:val="DBCA84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3951032"/>
    <w:multiLevelType w:val="multilevel"/>
    <w:tmpl w:val="24228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54D0896"/>
    <w:multiLevelType w:val="multilevel"/>
    <w:tmpl w:val="FF726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A162367"/>
    <w:multiLevelType w:val="hybridMultilevel"/>
    <w:tmpl w:val="D206F1B8"/>
    <w:lvl w:ilvl="0" w:tplc="A8182DFE">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CC14E14"/>
    <w:multiLevelType w:val="multilevel"/>
    <w:tmpl w:val="120A6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CDC3AAD"/>
    <w:multiLevelType w:val="multilevel"/>
    <w:tmpl w:val="70F61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1"/>
  </w:num>
  <w:num w:numId="4">
    <w:abstractNumId w:val="4"/>
  </w:num>
  <w:num w:numId="5">
    <w:abstractNumId w:val="7"/>
  </w:num>
  <w:num w:numId="6">
    <w:abstractNumId w:val="6"/>
  </w:num>
  <w:num w:numId="7">
    <w:abstractNumId w:val="0"/>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425"/>
  <w:characterSpacingControl w:val="doNotCompress"/>
  <w:compat/>
  <w:rsids>
    <w:rsidRoot w:val="00DB3CC9"/>
    <w:rsid w:val="00011F93"/>
    <w:rsid w:val="00030D4A"/>
    <w:rsid w:val="00034B73"/>
    <w:rsid w:val="0007321B"/>
    <w:rsid w:val="0008043D"/>
    <w:rsid w:val="00080A29"/>
    <w:rsid w:val="000B4DB3"/>
    <w:rsid w:val="000C0D7E"/>
    <w:rsid w:val="000F2DE7"/>
    <w:rsid w:val="000F6EE1"/>
    <w:rsid w:val="001126D6"/>
    <w:rsid w:val="00144B64"/>
    <w:rsid w:val="00165E62"/>
    <w:rsid w:val="0016796A"/>
    <w:rsid w:val="00171A71"/>
    <w:rsid w:val="001F5C81"/>
    <w:rsid w:val="00235419"/>
    <w:rsid w:val="002478CE"/>
    <w:rsid w:val="00292329"/>
    <w:rsid w:val="00293E22"/>
    <w:rsid w:val="002B0785"/>
    <w:rsid w:val="002C62F4"/>
    <w:rsid w:val="002C7540"/>
    <w:rsid w:val="002E2483"/>
    <w:rsid w:val="00314DD9"/>
    <w:rsid w:val="00397370"/>
    <w:rsid w:val="003A27AB"/>
    <w:rsid w:val="003A3D4B"/>
    <w:rsid w:val="003B345A"/>
    <w:rsid w:val="003F7E6C"/>
    <w:rsid w:val="00413124"/>
    <w:rsid w:val="00460086"/>
    <w:rsid w:val="004B034B"/>
    <w:rsid w:val="00532513"/>
    <w:rsid w:val="00533176"/>
    <w:rsid w:val="005765A8"/>
    <w:rsid w:val="005E0EFA"/>
    <w:rsid w:val="005F66A5"/>
    <w:rsid w:val="00616F93"/>
    <w:rsid w:val="00664A22"/>
    <w:rsid w:val="00672787"/>
    <w:rsid w:val="00676C84"/>
    <w:rsid w:val="00681B21"/>
    <w:rsid w:val="00690A9A"/>
    <w:rsid w:val="006C1E93"/>
    <w:rsid w:val="006E7DD0"/>
    <w:rsid w:val="006F2E02"/>
    <w:rsid w:val="0072516F"/>
    <w:rsid w:val="007726AA"/>
    <w:rsid w:val="007B59A6"/>
    <w:rsid w:val="007B773C"/>
    <w:rsid w:val="007D485C"/>
    <w:rsid w:val="007E2AC7"/>
    <w:rsid w:val="0080252C"/>
    <w:rsid w:val="0080432E"/>
    <w:rsid w:val="00851D1E"/>
    <w:rsid w:val="00872E82"/>
    <w:rsid w:val="00875AA0"/>
    <w:rsid w:val="00877340"/>
    <w:rsid w:val="008802B5"/>
    <w:rsid w:val="008846B9"/>
    <w:rsid w:val="00893FF0"/>
    <w:rsid w:val="008A50E4"/>
    <w:rsid w:val="008E0201"/>
    <w:rsid w:val="00913590"/>
    <w:rsid w:val="009266EB"/>
    <w:rsid w:val="0094211F"/>
    <w:rsid w:val="00957119"/>
    <w:rsid w:val="00957187"/>
    <w:rsid w:val="009B613F"/>
    <w:rsid w:val="009D2100"/>
    <w:rsid w:val="009E1753"/>
    <w:rsid w:val="009E6B2E"/>
    <w:rsid w:val="00A83236"/>
    <w:rsid w:val="00A91E18"/>
    <w:rsid w:val="00AB25F0"/>
    <w:rsid w:val="00AC6713"/>
    <w:rsid w:val="00B06E71"/>
    <w:rsid w:val="00B16B9A"/>
    <w:rsid w:val="00B422A2"/>
    <w:rsid w:val="00B929CC"/>
    <w:rsid w:val="00BD0D34"/>
    <w:rsid w:val="00BD6082"/>
    <w:rsid w:val="00BE35B3"/>
    <w:rsid w:val="00C04ECC"/>
    <w:rsid w:val="00C35362"/>
    <w:rsid w:val="00C73B5E"/>
    <w:rsid w:val="00CA0590"/>
    <w:rsid w:val="00CD219D"/>
    <w:rsid w:val="00D96D05"/>
    <w:rsid w:val="00DB3CC9"/>
    <w:rsid w:val="00DB4C62"/>
    <w:rsid w:val="00DC1D8F"/>
    <w:rsid w:val="00E41AE0"/>
    <w:rsid w:val="00E62A01"/>
    <w:rsid w:val="00EC219B"/>
    <w:rsid w:val="00ED209E"/>
    <w:rsid w:val="00ED58D2"/>
    <w:rsid w:val="00F04728"/>
    <w:rsid w:val="00F34886"/>
    <w:rsid w:val="00F458FF"/>
    <w:rsid w:val="00F63388"/>
    <w:rsid w:val="00F8553F"/>
    <w:rsid w:val="00F9109F"/>
    <w:rsid w:val="00FF407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209E"/>
  </w:style>
  <w:style w:type="paragraph" w:styleId="Titre1">
    <w:name w:val="heading 1"/>
    <w:basedOn w:val="Normal"/>
    <w:link w:val="Titre1Car"/>
    <w:uiPriority w:val="9"/>
    <w:qFormat/>
    <w:rsid w:val="008A50E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4">
    <w:name w:val="heading 4"/>
    <w:basedOn w:val="Normal"/>
    <w:next w:val="Normal"/>
    <w:link w:val="Titre4Car"/>
    <w:uiPriority w:val="9"/>
    <w:semiHidden/>
    <w:unhideWhenUsed/>
    <w:qFormat/>
    <w:rsid w:val="008A50E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DB3CC9"/>
    <w:rPr>
      <w:color w:val="0000FF"/>
      <w:u w:val="single"/>
    </w:rPr>
  </w:style>
  <w:style w:type="paragraph" w:styleId="NormalWeb">
    <w:name w:val="Normal (Web)"/>
    <w:basedOn w:val="Normal"/>
    <w:uiPriority w:val="99"/>
    <w:semiHidden/>
    <w:unhideWhenUsed/>
    <w:rsid w:val="00DB3CC9"/>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mw-headline">
    <w:name w:val="mw-headline"/>
    <w:basedOn w:val="Policepardfaut"/>
    <w:rsid w:val="00957119"/>
  </w:style>
  <w:style w:type="paragraph" w:styleId="Paragraphedeliste">
    <w:name w:val="List Paragraph"/>
    <w:basedOn w:val="Normal"/>
    <w:uiPriority w:val="34"/>
    <w:qFormat/>
    <w:rsid w:val="00C73B5E"/>
    <w:pPr>
      <w:ind w:left="720"/>
      <w:contextualSpacing/>
    </w:pPr>
  </w:style>
  <w:style w:type="paragraph" w:styleId="Textedebulles">
    <w:name w:val="Balloon Text"/>
    <w:basedOn w:val="Normal"/>
    <w:link w:val="TextedebullesCar"/>
    <w:uiPriority w:val="99"/>
    <w:semiHidden/>
    <w:unhideWhenUsed/>
    <w:rsid w:val="0023541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35419"/>
    <w:rPr>
      <w:rFonts w:ascii="Tahoma" w:hAnsi="Tahoma" w:cs="Tahoma"/>
      <w:sz w:val="16"/>
      <w:szCs w:val="16"/>
    </w:rPr>
  </w:style>
  <w:style w:type="character" w:styleId="lev">
    <w:name w:val="Strong"/>
    <w:basedOn w:val="Policepardfaut"/>
    <w:uiPriority w:val="22"/>
    <w:qFormat/>
    <w:rsid w:val="006C1E93"/>
    <w:rPr>
      <w:b/>
      <w:bCs/>
    </w:rPr>
  </w:style>
  <w:style w:type="character" w:customStyle="1" w:styleId="Titre1Car">
    <w:name w:val="Titre 1 Car"/>
    <w:basedOn w:val="Policepardfaut"/>
    <w:link w:val="Titre1"/>
    <w:uiPriority w:val="9"/>
    <w:rsid w:val="008A50E4"/>
    <w:rPr>
      <w:rFonts w:ascii="Times New Roman" w:eastAsia="Times New Roman" w:hAnsi="Times New Roman" w:cs="Times New Roman"/>
      <w:b/>
      <w:bCs/>
      <w:kern w:val="36"/>
      <w:sz w:val="48"/>
      <w:szCs w:val="48"/>
      <w:lang w:eastAsia="fr-FR"/>
    </w:rPr>
  </w:style>
  <w:style w:type="character" w:customStyle="1" w:styleId="Titre4Car">
    <w:name w:val="Titre 4 Car"/>
    <w:basedOn w:val="Policepardfaut"/>
    <w:link w:val="Titre4"/>
    <w:uiPriority w:val="9"/>
    <w:semiHidden/>
    <w:rsid w:val="008A50E4"/>
    <w:rPr>
      <w:rFonts w:asciiTheme="majorHAnsi" w:eastAsiaTheme="majorEastAsia" w:hAnsiTheme="majorHAnsi" w:cstheme="majorBidi"/>
      <w:b/>
      <w:bCs/>
      <w:i/>
      <w:iCs/>
      <w:color w:val="4F81BD" w:themeColor="accent1"/>
    </w:rPr>
  </w:style>
  <w:style w:type="character" w:customStyle="1" w:styleId="definition">
    <w:name w:val="definition"/>
    <w:basedOn w:val="Policepardfaut"/>
    <w:rsid w:val="008A50E4"/>
  </w:style>
  <w:style w:type="character" w:customStyle="1" w:styleId="nowrap1">
    <w:name w:val="nowrap1"/>
    <w:basedOn w:val="Policepardfaut"/>
    <w:rsid w:val="000C0D7E"/>
  </w:style>
  <w:style w:type="character" w:customStyle="1" w:styleId="citecrochet1">
    <w:name w:val="cite_crochet1"/>
    <w:basedOn w:val="Policepardfaut"/>
    <w:rsid w:val="007B59A6"/>
    <w:rPr>
      <w:vanish/>
      <w:webHidden w:val="0"/>
      <w:specVanish w:val="0"/>
    </w:rPr>
  </w:style>
</w:styles>
</file>

<file path=word/webSettings.xml><?xml version="1.0" encoding="utf-8"?>
<w:webSettings xmlns:r="http://schemas.openxmlformats.org/officeDocument/2006/relationships" xmlns:w="http://schemas.openxmlformats.org/wordprocessingml/2006/main">
  <w:divs>
    <w:div w:id="245304148">
      <w:bodyDiv w:val="1"/>
      <w:marLeft w:val="0"/>
      <w:marRight w:val="0"/>
      <w:marTop w:val="0"/>
      <w:marBottom w:val="0"/>
      <w:divBdr>
        <w:top w:val="none" w:sz="0" w:space="0" w:color="auto"/>
        <w:left w:val="none" w:sz="0" w:space="0" w:color="auto"/>
        <w:bottom w:val="none" w:sz="0" w:space="0" w:color="auto"/>
        <w:right w:val="none" w:sz="0" w:space="0" w:color="auto"/>
      </w:divBdr>
      <w:divsChild>
        <w:div w:id="1399356765">
          <w:marLeft w:val="0"/>
          <w:marRight w:val="0"/>
          <w:marTop w:val="0"/>
          <w:marBottom w:val="0"/>
          <w:divBdr>
            <w:top w:val="none" w:sz="0" w:space="0" w:color="auto"/>
            <w:left w:val="none" w:sz="0" w:space="0" w:color="auto"/>
            <w:bottom w:val="none" w:sz="0" w:space="0" w:color="auto"/>
            <w:right w:val="none" w:sz="0" w:space="0" w:color="auto"/>
          </w:divBdr>
          <w:divsChild>
            <w:div w:id="2104758128">
              <w:marLeft w:val="0"/>
              <w:marRight w:val="0"/>
              <w:marTop w:val="0"/>
              <w:marBottom w:val="0"/>
              <w:divBdr>
                <w:top w:val="none" w:sz="0" w:space="0" w:color="auto"/>
                <w:left w:val="none" w:sz="0" w:space="0" w:color="auto"/>
                <w:bottom w:val="none" w:sz="0" w:space="0" w:color="auto"/>
                <w:right w:val="none" w:sz="0" w:space="0" w:color="auto"/>
              </w:divBdr>
              <w:divsChild>
                <w:div w:id="72970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946302">
      <w:bodyDiv w:val="1"/>
      <w:marLeft w:val="0"/>
      <w:marRight w:val="0"/>
      <w:marTop w:val="0"/>
      <w:marBottom w:val="0"/>
      <w:divBdr>
        <w:top w:val="none" w:sz="0" w:space="0" w:color="auto"/>
        <w:left w:val="none" w:sz="0" w:space="0" w:color="auto"/>
        <w:bottom w:val="none" w:sz="0" w:space="0" w:color="auto"/>
        <w:right w:val="none" w:sz="0" w:space="0" w:color="auto"/>
      </w:divBdr>
      <w:divsChild>
        <w:div w:id="1763330912">
          <w:marLeft w:val="0"/>
          <w:marRight w:val="0"/>
          <w:marTop w:val="0"/>
          <w:marBottom w:val="0"/>
          <w:divBdr>
            <w:top w:val="none" w:sz="0" w:space="0" w:color="auto"/>
            <w:left w:val="none" w:sz="0" w:space="0" w:color="auto"/>
            <w:bottom w:val="none" w:sz="0" w:space="0" w:color="auto"/>
            <w:right w:val="none" w:sz="0" w:space="0" w:color="auto"/>
          </w:divBdr>
          <w:divsChild>
            <w:div w:id="808786044">
              <w:marLeft w:val="0"/>
              <w:marRight w:val="0"/>
              <w:marTop w:val="0"/>
              <w:marBottom w:val="0"/>
              <w:divBdr>
                <w:top w:val="none" w:sz="0" w:space="0" w:color="auto"/>
                <w:left w:val="none" w:sz="0" w:space="0" w:color="auto"/>
                <w:bottom w:val="none" w:sz="0" w:space="0" w:color="auto"/>
                <w:right w:val="none" w:sz="0" w:space="0" w:color="auto"/>
              </w:divBdr>
              <w:divsChild>
                <w:div w:id="1392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3245072">
      <w:bodyDiv w:val="1"/>
      <w:marLeft w:val="0"/>
      <w:marRight w:val="0"/>
      <w:marTop w:val="0"/>
      <w:marBottom w:val="0"/>
      <w:divBdr>
        <w:top w:val="none" w:sz="0" w:space="0" w:color="auto"/>
        <w:left w:val="none" w:sz="0" w:space="0" w:color="auto"/>
        <w:bottom w:val="none" w:sz="0" w:space="0" w:color="auto"/>
        <w:right w:val="none" w:sz="0" w:space="0" w:color="auto"/>
      </w:divBdr>
      <w:divsChild>
        <w:div w:id="1418870591">
          <w:marLeft w:val="0"/>
          <w:marRight w:val="0"/>
          <w:marTop w:val="0"/>
          <w:marBottom w:val="0"/>
          <w:divBdr>
            <w:top w:val="none" w:sz="0" w:space="0" w:color="auto"/>
            <w:left w:val="none" w:sz="0" w:space="0" w:color="auto"/>
            <w:bottom w:val="none" w:sz="0" w:space="0" w:color="auto"/>
            <w:right w:val="none" w:sz="0" w:space="0" w:color="auto"/>
          </w:divBdr>
          <w:divsChild>
            <w:div w:id="1584752766">
              <w:marLeft w:val="0"/>
              <w:marRight w:val="0"/>
              <w:marTop w:val="0"/>
              <w:marBottom w:val="0"/>
              <w:divBdr>
                <w:top w:val="none" w:sz="0" w:space="0" w:color="auto"/>
                <w:left w:val="none" w:sz="0" w:space="0" w:color="auto"/>
                <w:bottom w:val="none" w:sz="0" w:space="0" w:color="auto"/>
                <w:right w:val="none" w:sz="0" w:space="0" w:color="auto"/>
              </w:divBdr>
              <w:divsChild>
                <w:div w:id="189007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r.wikipedia.org/wiki/Science" TargetMode="External"/><Relationship Id="rId13" Type="http://schemas.openxmlformats.org/officeDocument/2006/relationships/hyperlink" Target="http://fr.wikipedia.org/wiki/M%C3%A9tabolisme" TargetMode="External"/><Relationship Id="rId18" Type="http://schemas.openxmlformats.org/officeDocument/2006/relationships/hyperlink" Target="http://fr.wikipedia.org/wiki/M%C3%A9tabolisme" TargetMode="External"/><Relationship Id="rId26" Type="http://schemas.openxmlformats.org/officeDocument/2006/relationships/hyperlink" Target="http://fr.wikipedia.org/wiki/Tissu_biologique" TargetMode="External"/><Relationship Id="rId39" Type="http://schemas.openxmlformats.org/officeDocument/2006/relationships/hyperlink" Target="http://fr.wikipedia.org/wiki/Archaea" TargetMode="External"/><Relationship Id="rId3" Type="http://schemas.openxmlformats.org/officeDocument/2006/relationships/styles" Target="styles.xml"/><Relationship Id="rId21" Type="http://schemas.openxmlformats.org/officeDocument/2006/relationships/hyperlink" Target="http://fr.wikipedia.org/wiki/Th%C3%A9orie_cellulaire" TargetMode="External"/><Relationship Id="rId34" Type="http://schemas.openxmlformats.org/officeDocument/2006/relationships/hyperlink" Target="http://fr.wikipedia.org/wiki/%C3%8Atre_vivant" TargetMode="External"/><Relationship Id="rId42" Type="http://schemas.openxmlformats.org/officeDocument/2006/relationships/image" Target="media/image3.jpeg"/><Relationship Id="rId7" Type="http://schemas.openxmlformats.org/officeDocument/2006/relationships/hyperlink" Target="http://fr.wikipedia.org/wiki/Terre" TargetMode="External"/><Relationship Id="rId12" Type="http://schemas.openxmlformats.org/officeDocument/2006/relationships/hyperlink" Target="http://fr.wikipedia.org/wiki/S%C3%A9lection_naturelle" TargetMode="External"/><Relationship Id="rId17" Type="http://schemas.openxmlformats.org/officeDocument/2006/relationships/hyperlink" Target="http://fr.wikipedia.org/wiki/Acide_nucl%C3%A9ique" TargetMode="External"/><Relationship Id="rId25" Type="http://schemas.openxmlformats.org/officeDocument/2006/relationships/hyperlink" Target="http://fr.wikipedia.org/wiki/Organisme_(physiologie)" TargetMode="External"/><Relationship Id="rId33" Type="http://schemas.openxmlformats.org/officeDocument/2006/relationships/hyperlink" Target="http://fr.wikipedia.org/wiki/Grec_ancien" TargetMode="External"/><Relationship Id="rId38" Type="http://schemas.openxmlformats.org/officeDocument/2006/relationships/hyperlink" Target="http://fr.wikipedia.org/wiki/Organite"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fr.wikipedia.org/wiki/Acide_ribonucl%C3%A9ique" TargetMode="External"/><Relationship Id="rId20" Type="http://schemas.openxmlformats.org/officeDocument/2006/relationships/hyperlink" Target="http://fr.wikipedia.org/wiki/H%C3%A9r%C3%A9dit%C3%A9" TargetMode="External"/><Relationship Id="rId29" Type="http://schemas.openxmlformats.org/officeDocument/2006/relationships/hyperlink" Target="http://fr.wikipedia.org/wiki/Vie" TargetMode="External"/><Relationship Id="rId41"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fr.wikipedia.org/wiki/Acides_nucl%C3%A9iques" TargetMode="External"/><Relationship Id="rId24" Type="http://schemas.openxmlformats.org/officeDocument/2006/relationships/hyperlink" Target="http://fr.wikipedia.org/wiki/Virus" TargetMode="External"/><Relationship Id="rId32" Type="http://schemas.openxmlformats.org/officeDocument/2006/relationships/hyperlink" Target="http://fr.wikipedia.org/wiki/Latin" TargetMode="External"/><Relationship Id="rId37" Type="http://schemas.openxmlformats.org/officeDocument/2006/relationships/hyperlink" Target="http://fr.wikipedia.org/wiki/Noyau_%28biologie%29" TargetMode="External"/><Relationship Id="rId40" Type="http://schemas.openxmlformats.org/officeDocument/2006/relationships/hyperlink" Target="http://fr.wikipedia.org/wiki/Bact%C3%A9rie"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fr.wikipedia.org/wiki/Acide_d%C3%A9soxyribonucl%C3%A9ique" TargetMode="External"/><Relationship Id="rId23" Type="http://schemas.openxmlformats.org/officeDocument/2006/relationships/hyperlink" Target="http://fr.wikipedia.org/wiki/%C3%8Atre_vivant" TargetMode="External"/><Relationship Id="rId28" Type="http://schemas.openxmlformats.org/officeDocument/2006/relationships/hyperlink" Target="http://fr.wikipedia.org/wiki/Th%C3%A9orie_cellulaire" TargetMode="External"/><Relationship Id="rId36" Type="http://schemas.openxmlformats.org/officeDocument/2006/relationships/hyperlink" Target="http://fr.wikipedia.org/wiki/Cellule_%28biologie%29" TargetMode="External"/><Relationship Id="rId10" Type="http://schemas.openxmlformats.org/officeDocument/2006/relationships/hyperlink" Target="http://fr.wikipedia.org/wiki/Codage_de_l%27information" TargetMode="External"/><Relationship Id="rId19" Type="http://schemas.openxmlformats.org/officeDocument/2006/relationships/hyperlink" Target="http://fr.wikipedia.org/wiki/Information" TargetMode="External"/><Relationship Id="rId31" Type="http://schemas.openxmlformats.org/officeDocument/2006/relationships/hyperlink" Target="http://fr.wikipedia.org/wiki/Organite" TargetMode="External"/><Relationship Id="rId44"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hyperlink" Target="http://fr.wikipedia.org/wiki/Th%C3%A9orie_de_l%27information" TargetMode="External"/><Relationship Id="rId14" Type="http://schemas.openxmlformats.org/officeDocument/2006/relationships/hyperlink" Target="http://fr.wikipedia.org/wiki/%C3%89quilibre_thermodynamique" TargetMode="External"/><Relationship Id="rId22" Type="http://schemas.openxmlformats.org/officeDocument/2006/relationships/hyperlink" Target="http://fr.wikipedia.org/wiki/Latin" TargetMode="External"/><Relationship Id="rId27" Type="http://schemas.openxmlformats.org/officeDocument/2006/relationships/hyperlink" Target="http://fr.wikipedia.org/wiki/Organe" TargetMode="External"/><Relationship Id="rId30" Type="http://schemas.openxmlformats.org/officeDocument/2006/relationships/hyperlink" Target="http://fr.wikipedia.org/wiki/Hom%C3%A9ostasie" TargetMode="External"/><Relationship Id="rId35" Type="http://schemas.openxmlformats.org/officeDocument/2006/relationships/hyperlink" Target="http://fr.wikipedia.org/wiki/Unicellulaire" TargetMode="External"/><Relationship Id="rId43"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7F7652-0C55-4D1A-949B-38654A5D4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1149</TotalTime>
  <Pages>9</Pages>
  <Words>1584</Words>
  <Characters>8715</Characters>
  <Application>Microsoft Office Word</Application>
  <DocSecurity>0</DocSecurity>
  <Lines>72</Lines>
  <Paragraphs>20</Paragraphs>
  <ScaleCrop>false</ScaleCrop>
  <HeadingPairs>
    <vt:vector size="2" baseType="variant">
      <vt:variant>
        <vt:lpstr>Titre</vt:lpstr>
      </vt:variant>
      <vt:variant>
        <vt:i4>1</vt:i4>
      </vt:variant>
    </vt:vector>
  </HeadingPairs>
  <TitlesOfParts>
    <vt:vector size="1" baseType="lpstr">
      <vt:lpstr/>
    </vt:vector>
  </TitlesOfParts>
  <Company>TIARET</Company>
  <LinksUpToDate>false</LinksUpToDate>
  <CharactersWithSpaces>10279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GOLDEN SYSTEM</dc:creator>
  <cp:keywords/>
  <dc:description/>
  <cp:lastModifiedBy>Oussama</cp:lastModifiedBy>
  <cp:revision>101</cp:revision>
  <dcterms:created xsi:type="dcterms:W3CDTF">2013-10-28T14:58:00Z</dcterms:created>
  <dcterms:modified xsi:type="dcterms:W3CDTF">2020-09-13T16:00:00Z</dcterms:modified>
</cp:coreProperties>
</file>